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22年蔡家岗街道工作报告主要任务分解表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/>
          <w:lang w:val="en-US" w:eastAsia="zh-CN"/>
        </w:rPr>
        <w:t>王化成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5193"/>
        <w:gridCol w:w="1013"/>
        <w:gridCol w:w="2213"/>
        <w:gridCol w:w="2635"/>
        <w:gridCol w:w="2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第四季度完成情况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一、全面加强政府自身建设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学思践悟习近平新时代中国特色社会主义思想，自觉用马克思主义立场、观点、方法观察时代、把握时代、引领时代，不断提高政治判断力、政治领悟力、政治执行力，奋力开创政府工作新局面。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干什么学什么，缺什么补什么，提高专业化能力。把求真务实贯穿工作全过程，注重谋实事、摸实情、出实招、求实效，用成果说话，以实绩论英雄。发扬斗争精神，勇于担苦担重，敢于动真碰硬，在危机中育新机、于变局中开新局。落实“三个区分开来”，强化“慢进是退不进更是退”的紧迫感，不断砥砺奋发图强的干事热情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严格执行民主集中制和重大行政决策程序，自觉接受人大法律监督、政协民主监督、监察监督和其他各类监督，高质量办好议案建议和提案，提升政府工作科学化、民主化、法治化水平。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二、经济社会主要预期目标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辖区生产总值增长9%。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规模以上工业增加值增长9%以上。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固定资产投资增长11%。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社会消费品零售总额增长11%。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城乡常住居民人均可支配收入分别增长9%、9.5%。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一般公共预算收入增长8%。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PM2.5平均浓度、空气质量优良天数比例完成目标任务。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环保所、党政办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三、筑牢发展根基，奋力提质扩量增效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四、激发市场活力，加快培育内生动能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大力实施全民科学素质行动规划纲要。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五、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完成2021年第二轮中央环保督察反馈问题整改。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六、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胡成杰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全面启动“八五”普法，提升法治谢家集建设水平，争创省级法治政府示范区。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胡成杰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隗凤林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鲍广李</w:t>
            </w:r>
            <w:bookmarkStart w:id="0" w:name="_GoBack"/>
            <w:bookmarkEnd w:id="0"/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WExMGQ3Mjk4NzI0OTI3MGE1MTNmZGQzN2UwMjcifQ=="/>
  </w:docVars>
  <w:rsids>
    <w:rsidRoot w:val="00000000"/>
    <w:rsid w:val="1DD969AF"/>
    <w:rsid w:val="60BE0138"/>
    <w:rsid w:val="663B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2368</Words>
  <Characters>2419</Characters>
  <Lines>0</Lines>
  <Paragraphs>0</Paragraphs>
  <TotalTime>0</TotalTime>
  <ScaleCrop>false</ScaleCrop>
  <LinksUpToDate>false</LinksUpToDate>
  <CharactersWithSpaces>2420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2022-04-15T08:42:00Z</dcterms:created>
  <dc:creator>Administrator</dc:creator>
  <cp:lastModifiedBy>吴瑞</cp:lastModifiedBy>
  <dcterms:modified xsi:type="dcterms:W3CDTF">2022-11-14T13:21:27Z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871202CFF1F142CC8638586AA98D0C30</vt:lpwstr>
  </property>
</Properties>
</file>