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center"/>
        <w:rPr>
          <w:rFonts w:ascii="Times New Roman" w:hAnsi="Times New Roman" w:eastAsia="方正小标宋简体" w:cs="宋体"/>
          <w:color w:val="auto"/>
          <w:kern w:val="0"/>
          <w:sz w:val="44"/>
          <w:szCs w:val="44"/>
        </w:rPr>
      </w:pPr>
      <w:r>
        <w:rPr>
          <w:rFonts w:hint="eastAsia" w:ascii="Times New Roman" w:hAnsi="Times New Roman" w:eastAsia="方正小标宋简体" w:cs="宋体"/>
          <w:bCs/>
          <w:color w:val="auto"/>
          <w:kern w:val="0"/>
          <w:sz w:val="44"/>
          <w:szCs w:val="44"/>
          <w:lang w:eastAsia="zh-CN"/>
        </w:rPr>
        <w:t>谢家集区</w:t>
      </w:r>
      <w:r>
        <w:rPr>
          <w:rFonts w:hint="eastAsia" w:ascii="Times New Roman" w:hAnsi="Times New Roman" w:eastAsia="方正小标宋简体" w:cs="宋体"/>
          <w:bCs/>
          <w:color w:val="auto"/>
          <w:kern w:val="0"/>
          <w:sz w:val="44"/>
          <w:szCs w:val="44"/>
          <w:lang w:val="en-US" w:eastAsia="zh-CN"/>
        </w:rPr>
        <w:t>2019年</w:t>
      </w:r>
      <w:r>
        <w:rPr>
          <w:rFonts w:hint="eastAsia" w:ascii="Times New Roman" w:hAnsi="Times New Roman" w:eastAsia="方正小标宋简体" w:cs="宋体"/>
          <w:bCs/>
          <w:color w:val="auto"/>
          <w:kern w:val="0"/>
          <w:sz w:val="44"/>
          <w:szCs w:val="44"/>
        </w:rPr>
        <w:t>政府信息公开年度报告</w:t>
      </w:r>
    </w:p>
    <w:p>
      <w:pPr>
        <w:widowControl/>
        <w:spacing w:line="578" w:lineRule="exact"/>
        <w:ind w:firstLine="480"/>
        <w:rPr>
          <w:rFonts w:ascii="Times New Roman" w:hAnsi="Times New Roman" w:cs="宋体"/>
          <w:color w:val="auto"/>
          <w:kern w:val="0"/>
          <w:sz w:val="24"/>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i w:val="0"/>
          <w:caps w:val="0"/>
          <w:color w:val="auto"/>
          <w:spacing w:val="0"/>
          <w:sz w:val="32"/>
          <w:szCs w:val="32"/>
          <w:shd w:val="clear" w:fill="FFFFFF"/>
        </w:rPr>
        <w:t>本年度报告是根据《中华人民共和国政府信息公开条例》要求，由谢家集区人民政府政务公开办公室编制。全文包括概述、主动公开政府信息情况、依申请公开政府信息情况、政府信息公开复议和诉讼情况、存在的主要问题和改进措施。本年度报告中所列数据的统计期限自201</w:t>
      </w:r>
      <w:r>
        <w:rPr>
          <w:rFonts w:hint="eastAsia" w:ascii="Times New Roman" w:hAnsi="Times New Roman" w:eastAsia="仿宋_GB2312" w:cs="仿宋_GB2312"/>
          <w:i w:val="0"/>
          <w:caps w:val="0"/>
          <w:color w:val="auto"/>
          <w:spacing w:val="0"/>
          <w:sz w:val="32"/>
          <w:szCs w:val="32"/>
          <w:shd w:val="clear" w:fill="FFFFFF"/>
          <w:lang w:val="en-US" w:eastAsia="zh-CN"/>
        </w:rPr>
        <w:t>9</w:t>
      </w:r>
      <w:r>
        <w:rPr>
          <w:rFonts w:hint="eastAsia" w:ascii="Times New Roman" w:hAnsi="Times New Roman" w:eastAsia="仿宋_GB2312" w:cs="仿宋_GB2312"/>
          <w:i w:val="0"/>
          <w:caps w:val="0"/>
          <w:color w:val="auto"/>
          <w:spacing w:val="0"/>
          <w:sz w:val="32"/>
          <w:szCs w:val="32"/>
          <w:shd w:val="clear" w:fill="FFFFFF"/>
        </w:rPr>
        <w:t>年1月1日起至201</w:t>
      </w:r>
      <w:r>
        <w:rPr>
          <w:rFonts w:hint="eastAsia" w:ascii="Times New Roman" w:hAnsi="Times New Roman" w:eastAsia="仿宋_GB2312" w:cs="仿宋_GB2312"/>
          <w:i w:val="0"/>
          <w:caps w:val="0"/>
          <w:color w:val="auto"/>
          <w:spacing w:val="0"/>
          <w:sz w:val="32"/>
          <w:szCs w:val="32"/>
          <w:shd w:val="clear" w:fill="FFFFFF"/>
          <w:lang w:val="en-US" w:eastAsia="zh-CN"/>
        </w:rPr>
        <w:t>9</w:t>
      </w:r>
      <w:r>
        <w:rPr>
          <w:rFonts w:hint="eastAsia" w:ascii="Times New Roman" w:hAnsi="Times New Roman" w:eastAsia="仿宋_GB2312" w:cs="仿宋_GB2312"/>
          <w:i w:val="0"/>
          <w:caps w:val="0"/>
          <w:color w:val="auto"/>
          <w:spacing w:val="0"/>
          <w:sz w:val="32"/>
          <w:szCs w:val="32"/>
          <w:shd w:val="clear" w:fill="FFFFFF"/>
        </w:rPr>
        <w:t>年12月31日止。本年度报告的电子版可在淮南市谢家集区人民政府信息公开网（http://www.xiejiaji.gov.cn/）下载。如对本报告有任何疑问，请与谢家集区政府办公室联系（地址：淮南市谢家集区人民政府二楼210，电话：5696167，邮编：232000）。</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i w:val="0"/>
          <w:caps w:val="0"/>
          <w:color w:val="auto"/>
          <w:spacing w:val="0"/>
          <w:sz w:val="32"/>
          <w:szCs w:val="32"/>
          <w:shd w:val="clear" w:fill="FFFFFF"/>
        </w:rPr>
      </w:pPr>
      <w:r>
        <w:rPr>
          <w:rFonts w:hint="eastAsia" w:ascii="Times New Roman" w:hAnsi="Times New Roman" w:eastAsia="仿宋_GB2312" w:cs="仿宋_GB2312"/>
          <w:bCs/>
          <w:color w:val="auto"/>
          <w:kern w:val="0"/>
          <w:sz w:val="32"/>
          <w:szCs w:val="32"/>
        </w:rPr>
        <w:t>总体情况</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fill="FFFFFF"/>
        </w:rPr>
      </w:pPr>
      <w:r>
        <w:rPr>
          <w:rFonts w:hint="eastAsia" w:ascii="Times New Roman" w:hAnsi="Times New Roman" w:eastAsia="仿宋_GB2312" w:cs="仿宋_GB2312"/>
          <w:i w:val="0"/>
          <w:caps w:val="0"/>
          <w:color w:val="auto"/>
          <w:spacing w:val="0"/>
          <w:sz w:val="32"/>
          <w:szCs w:val="32"/>
          <w:shd w:val="clear" w:fill="FFFFFF"/>
        </w:rPr>
        <w:t>主动公开情况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i w:val="0"/>
          <w:caps w:val="0"/>
          <w:color w:val="auto"/>
          <w:spacing w:val="0"/>
          <w:sz w:val="32"/>
          <w:szCs w:val="32"/>
          <w:shd w:val="clear" w:fill="FFFFFF"/>
        </w:rPr>
      </w:pPr>
      <w:r>
        <w:rPr>
          <w:rFonts w:hint="eastAsia" w:ascii="Times New Roman" w:hAnsi="Times New Roman" w:eastAsia="仿宋_GB2312" w:cs="仿宋_GB2312"/>
          <w:i w:val="0"/>
          <w:caps w:val="0"/>
          <w:color w:val="auto"/>
          <w:spacing w:val="0"/>
          <w:sz w:val="32"/>
          <w:szCs w:val="32"/>
          <w:shd w:val="clear" w:fill="FFFFFF"/>
        </w:rPr>
        <w:t>2019年，</w:t>
      </w:r>
      <w:r>
        <w:rPr>
          <w:rFonts w:hint="eastAsia" w:ascii="Times New Roman" w:hAnsi="Times New Roman" w:eastAsia="仿宋_GB2312" w:cs="仿宋_GB2312"/>
          <w:i w:val="0"/>
          <w:caps w:val="0"/>
          <w:color w:val="auto"/>
          <w:spacing w:val="0"/>
          <w:sz w:val="32"/>
          <w:szCs w:val="32"/>
          <w:shd w:val="clear" w:fill="FFFFFF"/>
          <w:lang w:eastAsia="zh-CN"/>
        </w:rPr>
        <w:t>谢家集</w:t>
      </w:r>
      <w:r>
        <w:rPr>
          <w:rFonts w:hint="eastAsia" w:ascii="Times New Roman" w:hAnsi="Times New Roman" w:eastAsia="仿宋_GB2312" w:cs="仿宋_GB2312"/>
          <w:i w:val="0"/>
          <w:caps w:val="0"/>
          <w:color w:val="auto"/>
          <w:spacing w:val="0"/>
          <w:sz w:val="32"/>
          <w:szCs w:val="32"/>
          <w:shd w:val="clear" w:fill="FFFFFF"/>
        </w:rPr>
        <w:t>区认真贯彻落实新修订的《政府信息公开条例》，加大政府信息公开力度，积极回应人民群众对于政府信息公开的需求，坚持公开为常态、不公开为例外，不断完善依申请公开程序，不断强化便民服务要求，公开质量和效果得到显著提升。截至</w:t>
      </w:r>
      <w:r>
        <w:rPr>
          <w:rFonts w:hint="eastAsia" w:ascii="Times New Roman" w:hAnsi="Times New Roman" w:eastAsia="仿宋_GB2312" w:cs="仿宋_GB2312"/>
          <w:i w:val="0"/>
          <w:caps w:val="0"/>
          <w:color w:val="auto"/>
          <w:spacing w:val="0"/>
          <w:sz w:val="32"/>
          <w:szCs w:val="32"/>
          <w:shd w:val="clear" w:fill="FFFFFF"/>
          <w:lang w:val="en-US" w:eastAsia="zh-CN"/>
        </w:rPr>
        <w:t>2019年</w:t>
      </w:r>
      <w:r>
        <w:rPr>
          <w:rFonts w:hint="eastAsia" w:ascii="Times New Roman" w:hAnsi="Times New Roman" w:eastAsia="仿宋_GB2312" w:cs="仿宋_GB2312"/>
          <w:i w:val="0"/>
          <w:caps w:val="0"/>
          <w:color w:val="auto"/>
          <w:spacing w:val="0"/>
          <w:sz w:val="32"/>
          <w:szCs w:val="32"/>
          <w:shd w:val="clear" w:fill="FFFFFF"/>
        </w:rPr>
        <w:t>12月31日，新增主动公开政府信息</w:t>
      </w:r>
      <w:r>
        <w:rPr>
          <w:rFonts w:hint="eastAsia" w:ascii="Times New Roman" w:hAnsi="Times New Roman" w:eastAsia="仿宋_GB2312" w:cs="仿宋_GB2312"/>
          <w:i w:val="0"/>
          <w:caps w:val="0"/>
          <w:color w:val="auto"/>
          <w:spacing w:val="0"/>
          <w:sz w:val="32"/>
          <w:szCs w:val="32"/>
          <w:shd w:val="clear" w:fill="FFFFFF"/>
          <w:lang w:val="en-US" w:eastAsia="zh-CN"/>
        </w:rPr>
        <w:t>1601</w:t>
      </w:r>
      <w:r>
        <w:rPr>
          <w:rFonts w:hint="eastAsia" w:ascii="Times New Roman" w:hAnsi="Times New Roman" w:eastAsia="仿宋_GB2312" w:cs="仿宋_GB2312"/>
          <w:i w:val="0"/>
          <w:caps w:val="0"/>
          <w:color w:val="auto"/>
          <w:spacing w:val="0"/>
          <w:sz w:val="32"/>
          <w:szCs w:val="32"/>
          <w:shd w:val="clear" w:fill="FFFFFF"/>
        </w:rPr>
        <w:t>条，其中包括：</w:t>
      </w:r>
      <w:r>
        <w:rPr>
          <w:rFonts w:hint="eastAsia" w:ascii="Times New Roman" w:hAnsi="Times New Roman" w:eastAsia="仿宋_GB2312" w:cs="仿宋_GB2312"/>
          <w:i w:val="0"/>
          <w:caps w:val="0"/>
          <w:color w:val="auto"/>
          <w:spacing w:val="0"/>
          <w:sz w:val="32"/>
          <w:szCs w:val="32"/>
          <w:shd w:val="clear" w:fill="FFFFFF"/>
          <w:lang w:eastAsia="zh-CN"/>
        </w:rPr>
        <w:t>政策法规</w:t>
      </w:r>
      <w:r>
        <w:rPr>
          <w:rFonts w:hint="eastAsia" w:ascii="Times New Roman" w:hAnsi="Times New Roman" w:eastAsia="仿宋_GB2312" w:cs="仿宋_GB2312"/>
          <w:i w:val="0"/>
          <w:caps w:val="0"/>
          <w:color w:val="auto"/>
          <w:spacing w:val="0"/>
          <w:sz w:val="32"/>
          <w:szCs w:val="32"/>
          <w:shd w:val="clear" w:fill="FFFFFF"/>
          <w:lang w:val="en-US" w:eastAsia="zh-CN"/>
        </w:rPr>
        <w:t>148</w:t>
      </w:r>
      <w:r>
        <w:rPr>
          <w:rFonts w:hint="eastAsia" w:ascii="Times New Roman" w:hAnsi="Times New Roman" w:eastAsia="仿宋_GB2312" w:cs="仿宋_GB2312"/>
          <w:i w:val="0"/>
          <w:caps w:val="0"/>
          <w:color w:val="auto"/>
          <w:spacing w:val="0"/>
          <w:sz w:val="32"/>
          <w:szCs w:val="32"/>
          <w:shd w:val="clear" w:fill="FFFFFF"/>
        </w:rPr>
        <w:t>条，政策解读</w:t>
      </w:r>
      <w:r>
        <w:rPr>
          <w:rFonts w:hint="eastAsia" w:ascii="Times New Roman" w:hAnsi="Times New Roman" w:eastAsia="仿宋_GB2312" w:cs="仿宋_GB2312"/>
          <w:i w:val="0"/>
          <w:caps w:val="0"/>
          <w:color w:val="auto"/>
          <w:spacing w:val="0"/>
          <w:sz w:val="32"/>
          <w:szCs w:val="32"/>
          <w:shd w:val="clear" w:fill="FFFFFF"/>
          <w:lang w:val="en-US" w:eastAsia="zh-CN"/>
        </w:rPr>
        <w:t>46</w:t>
      </w:r>
      <w:r>
        <w:rPr>
          <w:rFonts w:hint="eastAsia" w:ascii="Times New Roman" w:hAnsi="Times New Roman" w:eastAsia="仿宋_GB2312" w:cs="仿宋_GB2312"/>
          <w:i w:val="0"/>
          <w:caps w:val="0"/>
          <w:color w:val="auto"/>
          <w:spacing w:val="0"/>
          <w:sz w:val="32"/>
          <w:szCs w:val="32"/>
          <w:shd w:val="clear" w:fill="FFFFFF"/>
        </w:rPr>
        <w:t>条，重大决策预公开</w:t>
      </w:r>
      <w:r>
        <w:rPr>
          <w:rFonts w:hint="eastAsia" w:ascii="Times New Roman" w:hAnsi="Times New Roman" w:eastAsia="仿宋_GB2312" w:cs="仿宋_GB2312"/>
          <w:i w:val="0"/>
          <w:caps w:val="0"/>
          <w:color w:val="auto"/>
          <w:spacing w:val="0"/>
          <w:sz w:val="32"/>
          <w:szCs w:val="32"/>
          <w:shd w:val="clear" w:fill="FFFFFF"/>
          <w:lang w:val="en-US" w:eastAsia="zh-CN"/>
        </w:rPr>
        <w:t>21</w:t>
      </w:r>
      <w:r>
        <w:rPr>
          <w:rFonts w:hint="eastAsia" w:ascii="Times New Roman" w:hAnsi="Times New Roman" w:eastAsia="仿宋_GB2312" w:cs="仿宋_GB2312"/>
          <w:i w:val="0"/>
          <w:caps w:val="0"/>
          <w:color w:val="auto"/>
          <w:spacing w:val="0"/>
          <w:sz w:val="32"/>
          <w:szCs w:val="32"/>
          <w:shd w:val="clear" w:fill="FFFFFF"/>
        </w:rPr>
        <w:t>条，建议提案办理</w:t>
      </w:r>
      <w:r>
        <w:rPr>
          <w:rFonts w:hint="eastAsia" w:ascii="Times New Roman" w:hAnsi="Times New Roman" w:eastAsia="仿宋_GB2312" w:cs="仿宋_GB2312"/>
          <w:i w:val="0"/>
          <w:caps w:val="0"/>
          <w:color w:val="auto"/>
          <w:spacing w:val="0"/>
          <w:sz w:val="32"/>
          <w:szCs w:val="32"/>
          <w:shd w:val="clear" w:fill="FFFFFF"/>
          <w:lang w:val="en-US" w:eastAsia="zh-CN"/>
        </w:rPr>
        <w:t>13</w:t>
      </w:r>
      <w:r>
        <w:rPr>
          <w:rFonts w:hint="eastAsia" w:ascii="Times New Roman" w:hAnsi="Times New Roman" w:eastAsia="仿宋_GB2312" w:cs="仿宋_GB2312"/>
          <w:i w:val="0"/>
          <w:caps w:val="0"/>
          <w:color w:val="auto"/>
          <w:spacing w:val="0"/>
          <w:sz w:val="32"/>
          <w:szCs w:val="32"/>
          <w:shd w:val="clear" w:fill="FFFFFF"/>
        </w:rPr>
        <w:t>条，机构领导</w:t>
      </w:r>
      <w:r>
        <w:rPr>
          <w:rFonts w:hint="eastAsia" w:ascii="Times New Roman" w:hAnsi="Times New Roman" w:eastAsia="仿宋_GB2312" w:cs="仿宋_GB2312"/>
          <w:i w:val="0"/>
          <w:caps w:val="0"/>
          <w:color w:val="auto"/>
          <w:spacing w:val="0"/>
          <w:sz w:val="32"/>
          <w:szCs w:val="32"/>
          <w:shd w:val="clear" w:fill="FFFFFF"/>
          <w:lang w:val="en-US" w:eastAsia="zh-CN"/>
        </w:rPr>
        <w:t>7</w:t>
      </w:r>
      <w:r>
        <w:rPr>
          <w:rFonts w:hint="eastAsia" w:ascii="Times New Roman" w:hAnsi="Times New Roman" w:eastAsia="仿宋_GB2312" w:cs="仿宋_GB2312"/>
          <w:i w:val="0"/>
          <w:caps w:val="0"/>
          <w:color w:val="auto"/>
          <w:spacing w:val="0"/>
          <w:sz w:val="32"/>
          <w:szCs w:val="32"/>
          <w:shd w:val="clear" w:fill="FFFFFF"/>
        </w:rPr>
        <w:t>条，机构设置 </w:t>
      </w:r>
      <w:r>
        <w:rPr>
          <w:rFonts w:hint="eastAsia" w:ascii="Times New Roman" w:hAnsi="Times New Roman" w:eastAsia="仿宋_GB2312" w:cs="仿宋_GB2312"/>
          <w:i w:val="0"/>
          <w:caps w:val="0"/>
          <w:color w:val="auto"/>
          <w:spacing w:val="0"/>
          <w:sz w:val="32"/>
          <w:szCs w:val="32"/>
          <w:shd w:val="clear" w:fill="FFFFFF"/>
          <w:lang w:val="en-US" w:eastAsia="zh-CN"/>
        </w:rPr>
        <w:t>15</w:t>
      </w:r>
      <w:r>
        <w:rPr>
          <w:rFonts w:hint="eastAsia" w:ascii="Times New Roman" w:hAnsi="Times New Roman" w:eastAsia="仿宋_GB2312" w:cs="仿宋_GB2312"/>
          <w:i w:val="0"/>
          <w:caps w:val="0"/>
          <w:color w:val="auto"/>
          <w:spacing w:val="0"/>
          <w:sz w:val="32"/>
          <w:szCs w:val="32"/>
          <w:shd w:val="clear" w:fill="FFFFFF"/>
        </w:rPr>
        <w:t>条，人事信息</w:t>
      </w:r>
      <w:r>
        <w:rPr>
          <w:rFonts w:hint="eastAsia" w:ascii="Times New Roman" w:hAnsi="Times New Roman" w:eastAsia="仿宋_GB2312" w:cs="仿宋_GB2312"/>
          <w:i w:val="0"/>
          <w:caps w:val="0"/>
          <w:color w:val="auto"/>
          <w:spacing w:val="0"/>
          <w:sz w:val="32"/>
          <w:szCs w:val="32"/>
          <w:shd w:val="clear" w:fill="FFFFFF"/>
          <w:lang w:val="en-US" w:eastAsia="zh-CN"/>
        </w:rPr>
        <w:t>9</w:t>
      </w:r>
      <w:r>
        <w:rPr>
          <w:rFonts w:hint="eastAsia" w:ascii="Times New Roman" w:hAnsi="Times New Roman" w:eastAsia="仿宋_GB2312" w:cs="仿宋_GB2312"/>
          <w:i w:val="0"/>
          <w:caps w:val="0"/>
          <w:color w:val="auto"/>
          <w:spacing w:val="0"/>
          <w:sz w:val="32"/>
          <w:szCs w:val="32"/>
          <w:shd w:val="clear" w:fill="FFFFFF"/>
        </w:rPr>
        <w:t>条，财政资金</w:t>
      </w:r>
      <w:r>
        <w:rPr>
          <w:rFonts w:hint="eastAsia" w:ascii="Times New Roman" w:hAnsi="Times New Roman" w:eastAsia="仿宋_GB2312" w:cs="仿宋_GB2312"/>
          <w:i w:val="0"/>
          <w:caps w:val="0"/>
          <w:color w:val="auto"/>
          <w:spacing w:val="0"/>
          <w:sz w:val="32"/>
          <w:szCs w:val="32"/>
          <w:shd w:val="clear" w:fill="FFFFFF"/>
          <w:lang w:val="en-US" w:eastAsia="zh-CN"/>
        </w:rPr>
        <w:t>34</w:t>
      </w:r>
      <w:r>
        <w:rPr>
          <w:rFonts w:hint="eastAsia" w:ascii="Times New Roman" w:hAnsi="Times New Roman" w:eastAsia="仿宋_GB2312" w:cs="仿宋_GB2312"/>
          <w:i w:val="0"/>
          <w:caps w:val="0"/>
          <w:color w:val="auto"/>
          <w:spacing w:val="0"/>
          <w:sz w:val="32"/>
          <w:szCs w:val="32"/>
          <w:shd w:val="clear" w:fill="FFFFFF"/>
        </w:rPr>
        <w:t>条，应急管理</w:t>
      </w:r>
      <w:r>
        <w:rPr>
          <w:rFonts w:hint="eastAsia" w:ascii="Times New Roman" w:hAnsi="Times New Roman" w:eastAsia="仿宋_GB2312" w:cs="仿宋_GB2312"/>
          <w:i w:val="0"/>
          <w:caps w:val="0"/>
          <w:color w:val="auto"/>
          <w:spacing w:val="0"/>
          <w:sz w:val="32"/>
          <w:szCs w:val="32"/>
          <w:shd w:val="clear" w:fill="FFFFFF"/>
          <w:lang w:val="en-US" w:eastAsia="zh-CN"/>
        </w:rPr>
        <w:t>18</w:t>
      </w:r>
      <w:r>
        <w:rPr>
          <w:rFonts w:hint="eastAsia" w:ascii="Times New Roman" w:hAnsi="Times New Roman" w:eastAsia="仿宋_GB2312" w:cs="仿宋_GB2312"/>
          <w:i w:val="0"/>
          <w:caps w:val="0"/>
          <w:color w:val="auto"/>
          <w:spacing w:val="0"/>
          <w:sz w:val="32"/>
          <w:szCs w:val="32"/>
          <w:shd w:val="clear" w:fill="FFFFFF"/>
        </w:rPr>
        <w:t>条，权责清单和动态调整情况 </w:t>
      </w:r>
      <w:r>
        <w:rPr>
          <w:rFonts w:hint="eastAsia" w:ascii="Times New Roman" w:hAnsi="Times New Roman" w:eastAsia="仿宋_GB2312" w:cs="仿宋_GB2312"/>
          <w:i w:val="0"/>
          <w:caps w:val="0"/>
          <w:color w:val="auto"/>
          <w:spacing w:val="0"/>
          <w:sz w:val="32"/>
          <w:szCs w:val="32"/>
          <w:shd w:val="clear" w:fill="FFFFFF"/>
          <w:lang w:val="en-US" w:eastAsia="zh-CN"/>
        </w:rPr>
        <w:t>2</w:t>
      </w:r>
      <w:r>
        <w:rPr>
          <w:rFonts w:hint="eastAsia" w:ascii="Times New Roman" w:hAnsi="Times New Roman" w:eastAsia="仿宋_GB2312" w:cs="仿宋_GB2312"/>
          <w:i w:val="0"/>
          <w:caps w:val="0"/>
          <w:color w:val="auto"/>
          <w:spacing w:val="0"/>
          <w:sz w:val="32"/>
          <w:szCs w:val="32"/>
          <w:shd w:val="clear" w:fill="FFFFFF"/>
        </w:rPr>
        <w:t>条，公共服务清单和中介服务清单</w:t>
      </w:r>
      <w:r>
        <w:rPr>
          <w:rFonts w:hint="eastAsia" w:ascii="Times New Roman" w:hAnsi="Times New Roman" w:eastAsia="仿宋_GB2312" w:cs="仿宋_GB2312"/>
          <w:i w:val="0"/>
          <w:caps w:val="0"/>
          <w:color w:val="auto"/>
          <w:spacing w:val="0"/>
          <w:sz w:val="32"/>
          <w:szCs w:val="32"/>
          <w:shd w:val="clear" w:fill="FFFFFF"/>
          <w:lang w:val="en-US" w:eastAsia="zh-CN"/>
        </w:rPr>
        <w:t>4</w:t>
      </w:r>
      <w:r>
        <w:rPr>
          <w:rFonts w:hint="eastAsia" w:ascii="Times New Roman" w:hAnsi="Times New Roman" w:eastAsia="仿宋_GB2312" w:cs="仿宋_GB2312"/>
          <w:i w:val="0"/>
          <w:caps w:val="0"/>
          <w:color w:val="auto"/>
          <w:spacing w:val="0"/>
          <w:sz w:val="32"/>
          <w:szCs w:val="32"/>
          <w:shd w:val="clear" w:fill="FFFFFF"/>
        </w:rPr>
        <w:t>条，放管服改革</w:t>
      </w:r>
      <w:r>
        <w:rPr>
          <w:rFonts w:hint="eastAsia" w:ascii="Times New Roman" w:hAnsi="Times New Roman" w:eastAsia="仿宋_GB2312" w:cs="仿宋_GB2312"/>
          <w:i w:val="0"/>
          <w:caps w:val="0"/>
          <w:color w:val="auto"/>
          <w:spacing w:val="0"/>
          <w:sz w:val="32"/>
          <w:szCs w:val="32"/>
          <w:shd w:val="clear" w:fill="FFFFFF"/>
          <w:lang w:val="en-US" w:eastAsia="zh-CN"/>
        </w:rPr>
        <w:t>20</w:t>
      </w:r>
      <w:r>
        <w:rPr>
          <w:rFonts w:hint="eastAsia" w:ascii="Times New Roman" w:hAnsi="Times New Roman" w:eastAsia="仿宋_GB2312" w:cs="仿宋_GB2312"/>
          <w:i w:val="0"/>
          <w:caps w:val="0"/>
          <w:color w:val="auto"/>
          <w:spacing w:val="0"/>
          <w:sz w:val="32"/>
          <w:szCs w:val="32"/>
          <w:shd w:val="clear" w:fill="FFFFFF"/>
        </w:rPr>
        <w:t>条，新闻发布18条，回应关切</w:t>
      </w:r>
      <w:r>
        <w:rPr>
          <w:rFonts w:hint="eastAsia" w:ascii="Times New Roman" w:hAnsi="Times New Roman" w:eastAsia="仿宋_GB2312" w:cs="仿宋_GB2312"/>
          <w:i w:val="0"/>
          <w:caps w:val="0"/>
          <w:color w:val="auto"/>
          <w:spacing w:val="0"/>
          <w:sz w:val="32"/>
          <w:szCs w:val="32"/>
          <w:shd w:val="clear" w:fill="FFFFFF"/>
          <w:lang w:val="en-US" w:eastAsia="zh-CN"/>
        </w:rPr>
        <w:t>18</w:t>
      </w:r>
      <w:r>
        <w:rPr>
          <w:rFonts w:hint="eastAsia" w:ascii="Times New Roman" w:hAnsi="Times New Roman" w:eastAsia="仿宋_GB2312" w:cs="仿宋_GB2312"/>
          <w:i w:val="0"/>
          <w:caps w:val="0"/>
          <w:color w:val="auto"/>
          <w:spacing w:val="0"/>
          <w:sz w:val="32"/>
          <w:szCs w:val="32"/>
          <w:shd w:val="clear" w:fill="FFFFFF"/>
        </w:rPr>
        <w:t>条，监督保障 </w:t>
      </w:r>
      <w:r>
        <w:rPr>
          <w:rFonts w:hint="eastAsia" w:ascii="Times New Roman" w:hAnsi="Times New Roman" w:eastAsia="仿宋_GB2312" w:cs="仿宋_GB2312"/>
          <w:i w:val="0"/>
          <w:caps w:val="0"/>
          <w:color w:val="auto"/>
          <w:spacing w:val="0"/>
          <w:sz w:val="32"/>
          <w:szCs w:val="32"/>
          <w:shd w:val="clear" w:fill="FFFFFF"/>
          <w:lang w:val="en-US" w:eastAsia="zh-CN"/>
        </w:rPr>
        <w:t>1</w:t>
      </w:r>
      <w:r>
        <w:rPr>
          <w:rFonts w:hint="eastAsia" w:ascii="Times New Roman" w:hAnsi="Times New Roman" w:eastAsia="仿宋_GB2312" w:cs="仿宋_GB2312"/>
          <w:i w:val="0"/>
          <w:caps w:val="0"/>
          <w:color w:val="auto"/>
          <w:spacing w:val="0"/>
          <w:sz w:val="32"/>
          <w:szCs w:val="32"/>
          <w:shd w:val="clear" w:fill="FFFFFF"/>
        </w:rPr>
        <w:t>9条</w:t>
      </w:r>
      <w:r>
        <w:rPr>
          <w:rFonts w:hint="eastAsia" w:ascii="Times New Roman" w:hAnsi="Times New Roman" w:eastAsia="仿宋_GB2312" w:cs="仿宋_GB2312"/>
          <w:i w:val="0"/>
          <w:caps w:val="0"/>
          <w:color w:val="auto"/>
          <w:spacing w:val="0"/>
          <w:sz w:val="32"/>
          <w:szCs w:val="32"/>
          <w:shd w:val="clear" w:fill="FFFFFF"/>
          <w:lang w:eastAsia="zh-CN"/>
        </w:rPr>
        <w:t>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i w:val="0"/>
          <w:caps w:val="0"/>
          <w:color w:val="auto"/>
          <w:spacing w:val="0"/>
          <w:sz w:val="32"/>
          <w:szCs w:val="32"/>
          <w:shd w:val="clear" w:fill="FFFFFF"/>
        </w:rPr>
        <w:t>（二）依申请公开情况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i w:val="0"/>
          <w:caps w:val="0"/>
          <w:color w:val="auto"/>
          <w:spacing w:val="0"/>
          <w:sz w:val="32"/>
          <w:szCs w:val="32"/>
          <w:shd w:val="clear" w:fill="FFFFFF"/>
        </w:rPr>
        <w:t>进一步完善申请的受理、审查、处理、答复程序，通过“线上线下”拓宽受理渠道，答复申请坚持依法有据、严谨规范、慎重稳妥，切实保障公众知情权，积极化解社会矛盾。全年，受理依申请公开</w:t>
      </w:r>
      <w:r>
        <w:rPr>
          <w:rFonts w:hint="eastAsia" w:ascii="Times New Roman" w:hAnsi="Times New Roman" w:eastAsia="仿宋_GB2312" w:cs="仿宋_GB2312"/>
          <w:i w:val="0"/>
          <w:caps w:val="0"/>
          <w:color w:val="auto"/>
          <w:spacing w:val="0"/>
          <w:sz w:val="32"/>
          <w:szCs w:val="32"/>
          <w:shd w:val="clear" w:fill="FFFFFF"/>
          <w:lang w:val="en-US" w:eastAsia="zh-CN"/>
        </w:rPr>
        <w:t>8</w:t>
      </w:r>
      <w:r>
        <w:rPr>
          <w:rFonts w:hint="eastAsia" w:ascii="Times New Roman" w:hAnsi="Times New Roman" w:eastAsia="仿宋_GB2312" w:cs="仿宋_GB2312"/>
          <w:i w:val="0"/>
          <w:caps w:val="0"/>
          <w:color w:val="auto"/>
          <w:spacing w:val="0"/>
          <w:sz w:val="32"/>
          <w:szCs w:val="32"/>
          <w:shd w:val="clear" w:fill="FFFFFF"/>
        </w:rPr>
        <w:t>件，予以公开</w:t>
      </w:r>
      <w:r>
        <w:rPr>
          <w:rFonts w:hint="eastAsia" w:ascii="Times New Roman" w:hAnsi="Times New Roman" w:eastAsia="仿宋_GB2312" w:cs="仿宋_GB2312"/>
          <w:i w:val="0"/>
          <w:caps w:val="0"/>
          <w:color w:val="auto"/>
          <w:spacing w:val="0"/>
          <w:sz w:val="32"/>
          <w:szCs w:val="32"/>
          <w:shd w:val="clear" w:fill="FFFFFF"/>
          <w:lang w:val="en-US" w:eastAsia="zh-CN"/>
        </w:rPr>
        <w:t>5</w:t>
      </w:r>
      <w:r>
        <w:rPr>
          <w:rFonts w:hint="eastAsia" w:ascii="Times New Roman" w:hAnsi="Times New Roman" w:eastAsia="仿宋_GB2312" w:cs="仿宋_GB2312"/>
          <w:i w:val="0"/>
          <w:caps w:val="0"/>
          <w:color w:val="auto"/>
          <w:spacing w:val="0"/>
          <w:sz w:val="32"/>
          <w:szCs w:val="32"/>
          <w:shd w:val="clear" w:fill="FFFFFF"/>
        </w:rPr>
        <w:t>件，从申请主体上看，企业0人，公民</w:t>
      </w:r>
      <w:r>
        <w:rPr>
          <w:rFonts w:hint="eastAsia" w:ascii="Times New Roman" w:hAnsi="Times New Roman" w:eastAsia="仿宋_GB2312" w:cs="仿宋_GB2312"/>
          <w:i w:val="0"/>
          <w:caps w:val="0"/>
          <w:color w:val="auto"/>
          <w:spacing w:val="0"/>
          <w:sz w:val="32"/>
          <w:szCs w:val="32"/>
          <w:shd w:val="clear" w:fill="FFFFFF"/>
          <w:lang w:val="en-US" w:eastAsia="zh-CN"/>
        </w:rPr>
        <w:t>8</w:t>
      </w:r>
      <w:r>
        <w:rPr>
          <w:rFonts w:hint="eastAsia" w:ascii="Times New Roman" w:hAnsi="Times New Roman" w:eastAsia="仿宋_GB2312" w:cs="仿宋_GB2312"/>
          <w:i w:val="0"/>
          <w:caps w:val="0"/>
          <w:color w:val="auto"/>
          <w:spacing w:val="0"/>
          <w:sz w:val="32"/>
          <w:szCs w:val="32"/>
          <w:shd w:val="clear" w:fill="FFFFFF"/>
        </w:rPr>
        <w:t>人</w:t>
      </w:r>
      <w:r>
        <w:rPr>
          <w:rFonts w:hint="eastAsia" w:ascii="Times New Roman" w:hAnsi="Times New Roman" w:eastAsia="仿宋_GB2312" w:cs="仿宋_GB2312"/>
          <w:i w:val="0"/>
          <w:caps w:val="0"/>
          <w:color w:val="auto"/>
          <w:spacing w:val="0"/>
          <w:sz w:val="32"/>
          <w:szCs w:val="32"/>
          <w:shd w:val="clear" w:fill="FFFFFF"/>
          <w:lang w:eastAsia="zh-CN"/>
        </w:rPr>
        <w:t>次</w:t>
      </w:r>
      <w:r>
        <w:rPr>
          <w:rFonts w:hint="eastAsia" w:ascii="Times New Roman" w:hAnsi="Times New Roman" w:eastAsia="仿宋_GB2312" w:cs="仿宋_GB2312"/>
          <w:i w:val="0"/>
          <w:caps w:val="0"/>
          <w:color w:val="auto"/>
          <w:spacing w:val="0"/>
          <w:sz w:val="32"/>
          <w:szCs w:val="32"/>
          <w:shd w:val="clear" w:fill="FFFFFF"/>
        </w:rPr>
        <w:t>；从申请方式上看，互联网申请</w:t>
      </w:r>
      <w:r>
        <w:rPr>
          <w:rFonts w:hint="eastAsia" w:ascii="Times New Roman" w:hAnsi="Times New Roman" w:eastAsia="仿宋_GB2312" w:cs="仿宋_GB2312"/>
          <w:i w:val="0"/>
          <w:caps w:val="0"/>
          <w:color w:val="auto"/>
          <w:spacing w:val="0"/>
          <w:sz w:val="32"/>
          <w:szCs w:val="32"/>
          <w:shd w:val="clear" w:fill="FFFFFF"/>
          <w:lang w:val="en-US" w:eastAsia="zh-CN"/>
        </w:rPr>
        <w:t>6</w:t>
      </w:r>
      <w:r>
        <w:rPr>
          <w:rFonts w:hint="eastAsia" w:ascii="Times New Roman" w:hAnsi="Times New Roman" w:eastAsia="仿宋_GB2312" w:cs="仿宋_GB2312"/>
          <w:i w:val="0"/>
          <w:caps w:val="0"/>
          <w:color w:val="auto"/>
          <w:spacing w:val="0"/>
          <w:sz w:val="32"/>
          <w:szCs w:val="32"/>
          <w:shd w:val="clear" w:fill="FFFFFF"/>
        </w:rPr>
        <w:t>件，其他方式申请</w:t>
      </w:r>
      <w:r>
        <w:rPr>
          <w:rFonts w:hint="eastAsia" w:ascii="Times New Roman" w:hAnsi="Times New Roman" w:eastAsia="仿宋_GB2312" w:cs="仿宋_GB2312"/>
          <w:i w:val="0"/>
          <w:caps w:val="0"/>
          <w:color w:val="auto"/>
          <w:spacing w:val="0"/>
          <w:sz w:val="32"/>
          <w:szCs w:val="32"/>
          <w:shd w:val="clear" w:fill="FFFFFF"/>
          <w:lang w:val="en-US" w:eastAsia="zh-CN"/>
        </w:rPr>
        <w:t>2</w:t>
      </w:r>
      <w:r>
        <w:rPr>
          <w:rFonts w:hint="eastAsia" w:ascii="Times New Roman" w:hAnsi="Times New Roman" w:eastAsia="仿宋_GB2312" w:cs="仿宋_GB2312"/>
          <w:i w:val="0"/>
          <w:caps w:val="0"/>
          <w:color w:val="auto"/>
          <w:spacing w:val="0"/>
          <w:sz w:val="32"/>
          <w:szCs w:val="32"/>
          <w:shd w:val="clear" w:fill="FFFFFF"/>
        </w:rPr>
        <w:t>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i w:val="0"/>
          <w:caps w:val="0"/>
          <w:color w:val="auto"/>
          <w:spacing w:val="0"/>
          <w:sz w:val="32"/>
          <w:szCs w:val="32"/>
          <w:shd w:val="clear" w:fill="FFFFFF"/>
        </w:rPr>
        <w:t>（三）政府信息管理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i w:val="0"/>
          <w:caps w:val="0"/>
          <w:color w:val="auto"/>
          <w:spacing w:val="0"/>
          <w:sz w:val="32"/>
          <w:szCs w:val="32"/>
          <w:shd w:val="clear" w:fill="FFFFFF"/>
        </w:rPr>
        <w:t>一是完善政府信息管理相关制度。建立完善公文公开属性源头认定、信息发布协调、投诉举报、保密审查、信息公开统计五项政府信息管理制度。二是持续加强政务公开内容建设。落实政府网站信息发布三审制和复查制，坚持分级分类审核、先审后发，杜绝涉密信息、违规信息上网，避免出现严重表述错误。三是建立政务公开常态化监测检查机制。采取系统监测和人工复核相结合的方式，紧盯栏目更新不及时、更新内容不规范等问题，对政务公开各单位各栏目进行动态化监测，并充分利用电话、QQ等工具及时通知各单位做好日常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i w:val="0"/>
          <w:caps w:val="0"/>
          <w:color w:val="auto"/>
          <w:spacing w:val="0"/>
          <w:sz w:val="32"/>
          <w:szCs w:val="32"/>
          <w:shd w:val="clear" w:fill="FFFFFF"/>
        </w:rPr>
        <w:t>（四）公开平台建设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i w:val="0"/>
          <w:caps w:val="0"/>
          <w:color w:val="auto"/>
          <w:spacing w:val="0"/>
          <w:sz w:val="32"/>
          <w:szCs w:val="32"/>
          <w:shd w:val="clear" w:fill="FFFFFF"/>
        </w:rPr>
        <w:t>一是充分发挥政府网站作为政府信息公开第一平台的作用。以政府网站为平台，以政务公开为手段，坚持在区政府网站第一时间公布政务信息，第一时间做好政策解读，第一时间回应百姓关切。二是完成政府网站集约化。对照《安徽省政府网站集约化平台技术标准》和省市相关文件要求，做好集约化平台下的区级网站栏目规划、目录梳理和功能调整，规范数据接口和技术架构，完成与市政府网站集约化平台及应用系统的对接、清洗、归类、历史数据迁移及增量数据采集等任务，提升我区政府信息公开平台规范化程度。三是打造“指尖上的网上政府”。充分利用“</w:t>
      </w:r>
      <w:r>
        <w:rPr>
          <w:rFonts w:hint="eastAsia" w:ascii="Times New Roman" w:hAnsi="Times New Roman" w:eastAsia="仿宋_GB2312" w:cs="仿宋_GB2312"/>
          <w:i w:val="0"/>
          <w:caps w:val="0"/>
          <w:color w:val="auto"/>
          <w:spacing w:val="0"/>
          <w:sz w:val="32"/>
          <w:szCs w:val="32"/>
          <w:shd w:val="clear" w:fill="FFFFFF"/>
          <w:lang w:eastAsia="zh-CN"/>
        </w:rPr>
        <w:t>谢家集</w:t>
      </w:r>
      <w:r>
        <w:rPr>
          <w:rFonts w:hint="eastAsia" w:ascii="Times New Roman" w:hAnsi="Times New Roman" w:eastAsia="仿宋_GB2312" w:cs="仿宋_GB2312"/>
          <w:i w:val="0"/>
          <w:caps w:val="0"/>
          <w:color w:val="auto"/>
          <w:spacing w:val="0"/>
          <w:sz w:val="32"/>
          <w:szCs w:val="32"/>
          <w:shd w:val="clear" w:fill="FFFFFF"/>
        </w:rPr>
        <w:t>区人民政府”微博微信灵活便捷的优势拓展政务公开移动平台，提高政府信息发布、公共管理、办事服务的响应速度和质量，保障公众更大程度参与政策制定、执行和监督。四是推进政务公开线上线下融合发展。在区政务服务大厅设置“政府信息公开查阅点”，方便群众查询、办事，拓宽线下政务公开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i w:val="0"/>
          <w:caps w:val="0"/>
          <w:color w:val="auto"/>
          <w:spacing w:val="0"/>
          <w:sz w:val="32"/>
          <w:szCs w:val="32"/>
          <w:shd w:val="clear" w:fill="FFFFFF"/>
        </w:rPr>
        <w:t>（五）监督保障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fill="FFFFFF"/>
        </w:rPr>
      </w:pPr>
      <w:r>
        <w:rPr>
          <w:rFonts w:hint="eastAsia" w:ascii="Times New Roman" w:hAnsi="Times New Roman" w:eastAsia="仿宋_GB2312" w:cs="仿宋_GB2312"/>
          <w:i w:val="0"/>
          <w:caps w:val="0"/>
          <w:color w:val="auto"/>
          <w:spacing w:val="0"/>
          <w:sz w:val="32"/>
          <w:szCs w:val="32"/>
          <w:shd w:val="clear" w:fill="FFFFFF"/>
        </w:rPr>
        <w:t>一是强化组织保障。区委、区政府高度重视政务公开工作，及时理顺和完善领导机制、工作机制，加强政务公开机构建设、专职人员配备和经费保障。二是加强政务公开培训、指导力度。通过小班教学、集中培训、QQ在线答疑等形式，做好我区政务公开培训和指导工作。全年，开展政务公开集中培训3次、小班教学15次，修订规范了区本级、区直部门和乡镇街道的政务公开目录。三是做好测评整改工作。抓好市里第三方测评反馈问题整改落实，开展我区第三方测评自查自纠整改提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i w:val="0"/>
          <w:caps w:val="0"/>
          <w:color w:val="auto"/>
          <w:spacing w:val="0"/>
          <w:sz w:val="32"/>
          <w:szCs w:val="32"/>
          <w:shd w:val="clear" w:fill="FFFFFF"/>
        </w:rPr>
        <w:t>（六）贯彻落实新条例情况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fill="FFFFFF"/>
        </w:rPr>
      </w:pPr>
      <w:r>
        <w:rPr>
          <w:rFonts w:hint="eastAsia" w:ascii="Times New Roman" w:hAnsi="Times New Roman" w:eastAsia="仿宋_GB2312" w:cs="仿宋_GB2312"/>
          <w:i w:val="0"/>
          <w:caps w:val="0"/>
          <w:color w:val="auto"/>
          <w:spacing w:val="0"/>
          <w:sz w:val="32"/>
          <w:szCs w:val="32"/>
          <w:shd w:val="clear" w:fill="FFFFFF"/>
        </w:rPr>
        <w:t>及时宣传学习新修订的《中华人民共和国政府信息公开条例》，在区政府常务会议上安排集中学习1次，全区范围内的集中培训1次，发布解读材料3篇，发放新条例80余册，并在我区政府信息公开网站上开设“贯彻落实新修订的《中华人民共和国政府信息公开条例》专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fill="FFFFFF"/>
        </w:rPr>
      </w:pPr>
    </w:p>
    <w:p>
      <w:pPr>
        <w:widowControl/>
        <w:spacing w:after="240" w:line="578" w:lineRule="exact"/>
        <w:ind w:firstLine="480"/>
        <w:rPr>
          <w:rFonts w:ascii="Times New Roman" w:hAnsi="Times New Roman" w:eastAsia="黑体" w:cs="宋体"/>
          <w:color w:val="auto"/>
          <w:kern w:val="0"/>
          <w:sz w:val="32"/>
          <w:szCs w:val="32"/>
        </w:rPr>
      </w:pPr>
      <w:r>
        <w:rPr>
          <w:rFonts w:hint="eastAsia" w:ascii="Times New Roman" w:hAnsi="Times New Roman" w:eastAsia="黑体" w:cs="宋体"/>
          <w:bCs/>
          <w:color w:val="auto"/>
          <w:kern w:val="0"/>
          <w:sz w:val="32"/>
          <w:szCs w:val="32"/>
        </w:rPr>
        <w:t>二、主动公开政府信息情况</w:t>
      </w:r>
    </w:p>
    <w:tbl>
      <w:tblPr>
        <w:tblStyle w:val="3"/>
        <w:tblW w:w="9310" w:type="dxa"/>
        <w:tblInd w:w="132" w:type="dxa"/>
        <w:tblLayout w:type="autofit"/>
        <w:tblCellMar>
          <w:top w:w="0" w:type="dxa"/>
          <w:left w:w="0" w:type="dxa"/>
          <w:bottom w:w="0" w:type="dxa"/>
          <w:right w:w="0" w:type="dxa"/>
        </w:tblCellMar>
      </w:tblPr>
      <w:tblGrid>
        <w:gridCol w:w="3723"/>
        <w:gridCol w:w="2369"/>
        <w:gridCol w:w="1533"/>
        <w:gridCol w:w="1685"/>
      </w:tblGrid>
      <w:tr>
        <w:tblPrEx>
          <w:tblCellMar>
            <w:top w:w="0" w:type="dxa"/>
            <w:left w:w="0" w:type="dxa"/>
            <w:bottom w:w="0" w:type="dxa"/>
            <w:right w:w="0" w:type="dxa"/>
          </w:tblCellMar>
        </w:tblPrEx>
        <w:trPr>
          <w:trHeight w:val="495" w:hRule="atLeast"/>
        </w:trPr>
        <w:tc>
          <w:tcPr>
            <w:tcW w:w="931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第二十条第（一）项</w:t>
            </w:r>
          </w:p>
        </w:tc>
      </w:tr>
      <w:tr>
        <w:tblPrEx>
          <w:tblCellMar>
            <w:top w:w="0" w:type="dxa"/>
            <w:left w:w="0" w:type="dxa"/>
            <w:bottom w:w="0" w:type="dxa"/>
            <w:right w:w="0" w:type="dxa"/>
          </w:tblCellMar>
        </w:tblPrEx>
        <w:trPr>
          <w:trHeight w:val="882"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信息内容</w:t>
            </w:r>
          </w:p>
        </w:tc>
        <w:tc>
          <w:tcPr>
            <w:tcW w:w="236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本年新</w:t>
            </w:r>
            <w:r>
              <w:rPr>
                <w:rFonts w:hint="eastAsia" w:ascii="Times New Roman" w:hAnsi="Times New Roman" w:eastAsia="仿宋_GB2312" w:cs="仿宋_GB2312"/>
                <w:color w:val="auto"/>
                <w:kern w:val="0"/>
                <w:sz w:val="21"/>
                <w:szCs w:val="21"/>
              </w:rPr>
              <w:br w:type="textWrapping"/>
            </w:r>
            <w:r>
              <w:rPr>
                <w:rFonts w:hint="eastAsia" w:ascii="Times New Roman" w:hAnsi="Times New Roman" w:eastAsia="仿宋_GB2312" w:cs="仿宋_GB2312"/>
                <w:color w:val="auto"/>
                <w:kern w:val="0"/>
                <w:sz w:val="21"/>
                <w:szCs w:val="21"/>
              </w:rPr>
              <w:t>制作数量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本年新</w:t>
            </w:r>
            <w:r>
              <w:rPr>
                <w:rFonts w:hint="eastAsia" w:ascii="Times New Roman" w:hAnsi="Times New Roman" w:eastAsia="仿宋_GB2312" w:cs="仿宋_GB2312"/>
                <w:color w:val="auto"/>
                <w:kern w:val="0"/>
                <w:sz w:val="21"/>
                <w:szCs w:val="21"/>
              </w:rPr>
              <w:br w:type="textWrapping"/>
            </w:r>
            <w:r>
              <w:rPr>
                <w:rFonts w:hint="eastAsia" w:ascii="Times New Roman" w:hAnsi="Times New Roman" w:eastAsia="仿宋_GB2312" w:cs="仿宋_GB2312"/>
                <w:color w:val="auto"/>
                <w:kern w:val="0"/>
                <w:sz w:val="21"/>
                <w:szCs w:val="21"/>
              </w:rPr>
              <w:t>公开数量</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对外公开总数量</w:t>
            </w:r>
          </w:p>
        </w:tc>
      </w:tr>
      <w:tr>
        <w:tblPrEx>
          <w:tblCellMar>
            <w:top w:w="0" w:type="dxa"/>
            <w:left w:w="0" w:type="dxa"/>
            <w:bottom w:w="0" w:type="dxa"/>
            <w:right w:w="0" w:type="dxa"/>
          </w:tblCellMar>
        </w:tblPrEx>
        <w:trPr>
          <w:trHeight w:val="523"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规章</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default"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default"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default"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p>
        </w:tc>
      </w:tr>
      <w:tr>
        <w:tblPrEx>
          <w:tblCellMar>
            <w:top w:w="0" w:type="dxa"/>
            <w:left w:w="0" w:type="dxa"/>
            <w:bottom w:w="0" w:type="dxa"/>
            <w:right w:w="0" w:type="dxa"/>
          </w:tblCellMar>
        </w:tblPrEx>
        <w:trPr>
          <w:trHeight w:val="471"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规范性文件</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1</w:t>
            </w:r>
          </w:p>
        </w:tc>
        <w:tc>
          <w:tcPr>
            <w:tcW w:w="15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1</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default"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1</w:t>
            </w:r>
            <w:r>
              <w:rPr>
                <w:rFonts w:hint="eastAsia" w:eastAsia="仿宋_GB2312" w:cs="仿宋_GB2312"/>
                <w:color w:val="auto"/>
                <w:kern w:val="0"/>
                <w:sz w:val="21"/>
                <w:szCs w:val="21"/>
                <w:lang w:val="en-US" w:eastAsia="zh-CN"/>
              </w:rPr>
              <w:t>1</w:t>
            </w:r>
            <w:bookmarkStart w:id="0" w:name="_GoBack"/>
            <w:bookmarkEnd w:id="0"/>
          </w:p>
        </w:tc>
      </w:tr>
      <w:tr>
        <w:tblPrEx>
          <w:tblCellMar>
            <w:top w:w="0" w:type="dxa"/>
            <w:left w:w="0" w:type="dxa"/>
            <w:bottom w:w="0" w:type="dxa"/>
            <w:right w:w="0" w:type="dxa"/>
          </w:tblCellMar>
        </w:tblPrEx>
        <w:trPr>
          <w:trHeight w:val="480"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第二十条第（五）项</w:t>
            </w:r>
          </w:p>
        </w:tc>
      </w:tr>
      <w:tr>
        <w:tblPrEx>
          <w:tblCellMar>
            <w:top w:w="0" w:type="dxa"/>
            <w:left w:w="0" w:type="dxa"/>
            <w:bottom w:w="0" w:type="dxa"/>
            <w:right w:w="0" w:type="dxa"/>
          </w:tblCellMar>
        </w:tblPrEx>
        <w:trPr>
          <w:trHeight w:val="634"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信息内容</w:t>
            </w:r>
          </w:p>
        </w:tc>
        <w:tc>
          <w:tcPr>
            <w:tcW w:w="236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上一年项目数量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本年增/减</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处理决定数量</w:t>
            </w:r>
          </w:p>
        </w:tc>
      </w:tr>
      <w:tr>
        <w:tblPrEx>
          <w:tblCellMar>
            <w:top w:w="0" w:type="dxa"/>
            <w:left w:w="0" w:type="dxa"/>
            <w:bottom w:w="0" w:type="dxa"/>
            <w:right w:w="0" w:type="dxa"/>
          </w:tblCellMar>
        </w:tblPrEx>
        <w:trPr>
          <w:trHeight w:val="528" w:hRule="atLeast"/>
        </w:trPr>
        <w:tc>
          <w:tcPr>
            <w:tcW w:w="3723" w:type="dxa"/>
            <w:tcBorders>
              <w:top w:val="nil"/>
              <w:left w:val="single" w:color="auto" w:sz="8" w:space="0"/>
              <w:bottom w:val="single" w:color="auto" w:sz="8" w:space="0"/>
              <w:right w:val="single" w:color="auto" w:sz="8" w:space="0"/>
            </w:tcBorders>
            <w:noWrap/>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行政许可</w:t>
            </w:r>
          </w:p>
        </w:tc>
        <w:tc>
          <w:tcPr>
            <w:tcW w:w="2369" w:type="dxa"/>
            <w:tcBorders>
              <w:top w:val="nil"/>
              <w:left w:val="nil"/>
              <w:bottom w:val="single" w:color="auto" w:sz="8" w:space="0"/>
              <w:right w:val="single" w:color="auto" w:sz="8" w:space="0"/>
            </w:tcBorders>
            <w:noWrap/>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增2</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2</w:t>
            </w:r>
          </w:p>
        </w:tc>
      </w:tr>
      <w:tr>
        <w:tblPrEx>
          <w:tblCellMar>
            <w:top w:w="0" w:type="dxa"/>
            <w:left w:w="0" w:type="dxa"/>
            <w:bottom w:w="0" w:type="dxa"/>
            <w:right w:w="0" w:type="dxa"/>
          </w:tblCellMar>
        </w:tblPrEx>
        <w:trPr>
          <w:trHeight w:val="550" w:hRule="atLeast"/>
        </w:trPr>
        <w:tc>
          <w:tcPr>
            <w:tcW w:w="3723" w:type="dxa"/>
            <w:tcBorders>
              <w:top w:val="nil"/>
              <w:left w:val="single" w:color="auto" w:sz="8" w:space="0"/>
              <w:bottom w:val="single" w:color="auto" w:sz="8" w:space="0"/>
              <w:right w:val="single" w:color="auto" w:sz="8" w:space="0"/>
            </w:tcBorders>
            <w:noWrap/>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其他对外管理服务事项（除行政许可外的其他行政权力）</w:t>
            </w:r>
          </w:p>
        </w:tc>
        <w:tc>
          <w:tcPr>
            <w:tcW w:w="2369" w:type="dxa"/>
            <w:tcBorders>
              <w:top w:val="nil"/>
              <w:left w:val="nil"/>
              <w:bottom w:val="single" w:color="auto" w:sz="8" w:space="0"/>
              <w:right w:val="single" w:color="auto" w:sz="8" w:space="0"/>
            </w:tcBorders>
            <w:noWrap/>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eastAsia="zh-CN"/>
              </w:rPr>
              <w:t>增</w:t>
            </w:r>
            <w:r>
              <w:rPr>
                <w:rFonts w:hint="eastAsia" w:ascii="Times New Roman" w:hAnsi="Times New Roman" w:eastAsia="仿宋_GB2312" w:cs="仿宋_GB2312"/>
                <w:color w:val="auto"/>
                <w:kern w:val="0"/>
                <w:sz w:val="21"/>
                <w:szCs w:val="21"/>
                <w:lang w:val="en-US" w:eastAsia="zh-CN"/>
              </w:rPr>
              <w:t>1</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1</w:t>
            </w:r>
          </w:p>
        </w:tc>
      </w:tr>
      <w:tr>
        <w:tblPrEx>
          <w:tblCellMar>
            <w:top w:w="0" w:type="dxa"/>
            <w:left w:w="0" w:type="dxa"/>
            <w:bottom w:w="0" w:type="dxa"/>
            <w:right w:w="0" w:type="dxa"/>
          </w:tblCellMar>
        </w:tblPrEx>
        <w:trPr>
          <w:trHeight w:val="406"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第二十条第（六）项</w:t>
            </w:r>
          </w:p>
        </w:tc>
      </w:tr>
      <w:tr>
        <w:tblPrEx>
          <w:tblCellMar>
            <w:top w:w="0" w:type="dxa"/>
            <w:left w:w="0" w:type="dxa"/>
            <w:bottom w:w="0" w:type="dxa"/>
            <w:right w:w="0" w:type="dxa"/>
          </w:tblCellMar>
        </w:tblPrEx>
        <w:trPr>
          <w:trHeight w:val="634"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信息内容</w:t>
            </w:r>
          </w:p>
        </w:tc>
        <w:tc>
          <w:tcPr>
            <w:tcW w:w="236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上一年项目数量</w:t>
            </w:r>
          </w:p>
        </w:tc>
        <w:tc>
          <w:tcPr>
            <w:tcW w:w="15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本年增/减</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处理决定数量</w:t>
            </w:r>
          </w:p>
        </w:tc>
      </w:tr>
      <w:tr>
        <w:tblPrEx>
          <w:tblCellMar>
            <w:top w:w="0" w:type="dxa"/>
            <w:left w:w="0" w:type="dxa"/>
            <w:bottom w:w="0" w:type="dxa"/>
            <w:right w:w="0" w:type="dxa"/>
          </w:tblCellMar>
        </w:tblPrEx>
        <w:trPr>
          <w:trHeight w:val="430" w:hRule="atLeast"/>
        </w:trPr>
        <w:tc>
          <w:tcPr>
            <w:tcW w:w="3723" w:type="dxa"/>
            <w:tcBorders>
              <w:top w:val="nil"/>
              <w:left w:val="single" w:color="auto" w:sz="8" w:space="0"/>
              <w:bottom w:val="single" w:color="auto" w:sz="8" w:space="0"/>
              <w:right w:val="single" w:color="auto" w:sz="8" w:space="0"/>
            </w:tcBorders>
            <w:noWrap/>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行政处罚</w:t>
            </w:r>
          </w:p>
        </w:tc>
        <w:tc>
          <w:tcPr>
            <w:tcW w:w="2369" w:type="dxa"/>
            <w:tcBorders>
              <w:top w:val="nil"/>
              <w:left w:val="nil"/>
              <w:bottom w:val="single" w:color="auto" w:sz="8" w:space="0"/>
              <w:right w:val="single" w:color="auto" w:sz="8" w:space="0"/>
            </w:tcBorders>
            <w:noWrap/>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eastAsia="zh-CN"/>
              </w:rPr>
              <w:t>增</w:t>
            </w:r>
            <w:r>
              <w:rPr>
                <w:rFonts w:hint="eastAsia" w:ascii="Times New Roman" w:hAnsi="Times New Roman" w:eastAsia="仿宋_GB2312" w:cs="仿宋_GB2312"/>
                <w:color w:val="auto"/>
                <w:kern w:val="0"/>
                <w:sz w:val="21"/>
                <w:szCs w:val="21"/>
                <w:lang w:val="en-US" w:eastAsia="zh-CN"/>
              </w:rPr>
              <w:t>3</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3</w:t>
            </w:r>
          </w:p>
        </w:tc>
      </w:tr>
      <w:tr>
        <w:tblPrEx>
          <w:tblCellMar>
            <w:top w:w="0" w:type="dxa"/>
            <w:left w:w="0" w:type="dxa"/>
            <w:bottom w:w="0" w:type="dxa"/>
            <w:right w:w="0" w:type="dxa"/>
          </w:tblCellMar>
        </w:tblPrEx>
        <w:trPr>
          <w:trHeight w:val="409" w:hRule="atLeast"/>
        </w:trPr>
        <w:tc>
          <w:tcPr>
            <w:tcW w:w="3723" w:type="dxa"/>
            <w:tcBorders>
              <w:top w:val="nil"/>
              <w:left w:val="single" w:color="auto" w:sz="8" w:space="0"/>
              <w:bottom w:val="single" w:color="auto" w:sz="8" w:space="0"/>
              <w:right w:val="single" w:color="auto" w:sz="8" w:space="0"/>
            </w:tcBorders>
            <w:noWrap/>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行政强制</w:t>
            </w:r>
          </w:p>
        </w:tc>
        <w:tc>
          <w:tcPr>
            <w:tcW w:w="2369" w:type="dxa"/>
            <w:tcBorders>
              <w:top w:val="nil"/>
              <w:left w:val="nil"/>
              <w:bottom w:val="single" w:color="auto" w:sz="8" w:space="0"/>
              <w:right w:val="single" w:color="auto" w:sz="8" w:space="0"/>
            </w:tcBorders>
            <w:noWrap/>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p>
        </w:tc>
        <w:tc>
          <w:tcPr>
            <w:tcW w:w="153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eastAsia="zh-CN"/>
              </w:rPr>
              <w:t>增</w:t>
            </w:r>
            <w:r>
              <w:rPr>
                <w:rFonts w:hint="eastAsia" w:ascii="Times New Roman" w:hAnsi="Times New Roman" w:eastAsia="仿宋_GB2312" w:cs="仿宋_GB2312"/>
                <w:color w:val="auto"/>
                <w:kern w:val="0"/>
                <w:sz w:val="21"/>
                <w:szCs w:val="21"/>
                <w:lang w:val="en-US" w:eastAsia="zh-CN"/>
              </w:rPr>
              <w:t>1</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1</w:t>
            </w:r>
          </w:p>
        </w:tc>
      </w:tr>
      <w:tr>
        <w:tblPrEx>
          <w:tblCellMar>
            <w:top w:w="0" w:type="dxa"/>
            <w:left w:w="0" w:type="dxa"/>
            <w:bottom w:w="0" w:type="dxa"/>
            <w:right w:w="0" w:type="dxa"/>
          </w:tblCellMar>
        </w:tblPrEx>
        <w:trPr>
          <w:trHeight w:val="474"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第二十条第（八）项</w:t>
            </w:r>
          </w:p>
        </w:tc>
      </w:tr>
      <w:tr>
        <w:tblPrEx>
          <w:tblCellMar>
            <w:top w:w="0" w:type="dxa"/>
            <w:left w:w="0" w:type="dxa"/>
            <w:bottom w:w="0" w:type="dxa"/>
            <w:right w:w="0" w:type="dxa"/>
          </w:tblCellMar>
        </w:tblPrEx>
        <w:trPr>
          <w:trHeight w:val="270"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信息内容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上一年项目数量</w:t>
            </w:r>
          </w:p>
        </w:tc>
        <w:tc>
          <w:tcPr>
            <w:tcW w:w="3218"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本年增/减</w:t>
            </w:r>
          </w:p>
        </w:tc>
      </w:tr>
      <w:tr>
        <w:tblPrEx>
          <w:tblCellMar>
            <w:top w:w="0" w:type="dxa"/>
            <w:left w:w="0" w:type="dxa"/>
            <w:bottom w:w="0" w:type="dxa"/>
            <w:right w:w="0" w:type="dxa"/>
          </w:tblCellMar>
        </w:tblPrEx>
        <w:trPr>
          <w:trHeight w:val="551"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行政事业性收费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p>
        </w:tc>
        <w:tc>
          <w:tcPr>
            <w:tcW w:w="3218"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p>
        </w:tc>
      </w:tr>
      <w:tr>
        <w:tblPrEx>
          <w:tblCellMar>
            <w:top w:w="0" w:type="dxa"/>
            <w:left w:w="0" w:type="dxa"/>
            <w:bottom w:w="0" w:type="dxa"/>
            <w:right w:w="0" w:type="dxa"/>
          </w:tblCellMar>
        </w:tblPrEx>
        <w:trPr>
          <w:trHeight w:val="476"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第二十条第（九）项</w:t>
            </w:r>
          </w:p>
        </w:tc>
      </w:tr>
      <w:tr>
        <w:tblPrEx>
          <w:tblCellMar>
            <w:top w:w="0" w:type="dxa"/>
            <w:left w:w="0" w:type="dxa"/>
            <w:bottom w:w="0" w:type="dxa"/>
            <w:right w:w="0" w:type="dxa"/>
          </w:tblCellMar>
        </w:tblPrEx>
        <w:trPr>
          <w:trHeight w:val="585"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信息内容</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采购项目数量</w:t>
            </w:r>
          </w:p>
        </w:tc>
        <w:tc>
          <w:tcPr>
            <w:tcW w:w="3218"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采购总金额</w:t>
            </w:r>
          </w:p>
        </w:tc>
      </w:tr>
      <w:tr>
        <w:tblPrEx>
          <w:tblCellMar>
            <w:top w:w="0" w:type="dxa"/>
            <w:left w:w="0" w:type="dxa"/>
            <w:bottom w:w="0" w:type="dxa"/>
            <w:right w:w="0" w:type="dxa"/>
          </w:tblCellMar>
        </w:tblPrEx>
        <w:trPr>
          <w:trHeight w:val="539" w:hRule="atLeast"/>
        </w:trPr>
        <w:tc>
          <w:tcPr>
            <w:tcW w:w="372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政府集中采购</w:t>
            </w:r>
          </w:p>
        </w:tc>
        <w:tc>
          <w:tcPr>
            <w:tcW w:w="236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2</w:t>
            </w:r>
          </w:p>
        </w:tc>
        <w:tc>
          <w:tcPr>
            <w:tcW w:w="3218"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2</w:t>
            </w:r>
          </w:p>
        </w:tc>
      </w:tr>
    </w:tbl>
    <w:p>
      <w:pPr>
        <w:widowControl/>
        <w:spacing w:after="240" w:line="578" w:lineRule="exact"/>
        <w:rPr>
          <w:rFonts w:hint="eastAsia" w:ascii="Times New Roman" w:hAnsi="Times New Roman" w:eastAsia="仿宋_GB2312" w:cs="仿宋_GB2312"/>
          <w:b/>
          <w:bCs/>
          <w:color w:val="auto"/>
          <w:kern w:val="0"/>
          <w:sz w:val="21"/>
          <w:szCs w:val="21"/>
        </w:rPr>
      </w:pPr>
    </w:p>
    <w:p>
      <w:pPr>
        <w:widowControl/>
        <w:spacing w:after="240" w:line="578" w:lineRule="exac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bCs/>
          <w:color w:val="auto"/>
          <w:kern w:val="0"/>
          <w:sz w:val="21"/>
          <w:szCs w:val="21"/>
        </w:rPr>
        <w:t>三、收到和处理政府信息公开申请情况</w:t>
      </w:r>
    </w:p>
    <w:tbl>
      <w:tblPr>
        <w:tblStyle w:val="3"/>
        <w:tblW w:w="9356" w:type="dxa"/>
        <w:tblInd w:w="132" w:type="dxa"/>
        <w:tblLayout w:type="autofit"/>
        <w:tblCellMar>
          <w:top w:w="0" w:type="dxa"/>
          <w:left w:w="0" w:type="dxa"/>
          <w:bottom w:w="0" w:type="dxa"/>
          <w:right w:w="0" w:type="dxa"/>
        </w:tblCellMar>
      </w:tblPr>
      <w:tblGrid>
        <w:gridCol w:w="1053"/>
        <w:gridCol w:w="855"/>
        <w:gridCol w:w="1919"/>
        <w:gridCol w:w="851"/>
        <w:gridCol w:w="709"/>
        <w:gridCol w:w="850"/>
        <w:gridCol w:w="851"/>
        <w:gridCol w:w="850"/>
        <w:gridCol w:w="709"/>
        <w:gridCol w:w="709"/>
      </w:tblGrid>
      <w:tr>
        <w:tblPrEx>
          <w:tblCellMar>
            <w:top w:w="0" w:type="dxa"/>
            <w:left w:w="0" w:type="dxa"/>
            <w:bottom w:w="0" w:type="dxa"/>
            <w:right w:w="0" w:type="dxa"/>
          </w:tblCellMar>
        </w:tblPrEx>
        <w:tc>
          <w:tcPr>
            <w:tcW w:w="382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（本列数据的勾稽关系为：第一项加第二项之和，等于第三项加第四项之和）</w:t>
            </w:r>
          </w:p>
        </w:tc>
        <w:tc>
          <w:tcPr>
            <w:tcW w:w="5529"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申请人情况</w:t>
            </w:r>
          </w:p>
        </w:tc>
      </w:tr>
      <w:tr>
        <w:tblPrEx>
          <w:tblCellMar>
            <w:top w:w="0" w:type="dxa"/>
            <w:left w:w="0" w:type="dxa"/>
            <w:bottom w:w="0" w:type="dxa"/>
            <w:right w:w="0" w:type="dxa"/>
          </w:tblCellMar>
        </w:tblPrEx>
        <w:tc>
          <w:tcPr>
            <w:tcW w:w="382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8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法人或其他组织</w:t>
            </w:r>
          </w:p>
        </w:tc>
        <w:tc>
          <w:tcPr>
            <w:tcW w:w="70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总计</w:t>
            </w:r>
          </w:p>
        </w:tc>
      </w:tr>
      <w:tr>
        <w:tc>
          <w:tcPr>
            <w:tcW w:w="382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851" w:type="dxa"/>
            <w:vMerge w:val="continue"/>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商业企业</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科研机构</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社会公益组织</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法律服务机构</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其他</w:t>
            </w:r>
          </w:p>
        </w:tc>
        <w:tc>
          <w:tcPr>
            <w:tcW w:w="709" w:type="dxa"/>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一、本年新收政府信息公开申请数量</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ind w:firstLine="210" w:firstLineChars="100"/>
              <w:jc w:val="both"/>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6</w:t>
            </w:r>
            <w:r>
              <w:rPr>
                <w:rFonts w:hint="eastAsia" w:ascii="Times New Roman" w:hAnsi="Times New Roman" w:eastAsia="仿宋_GB2312" w:cs="仿宋_GB2312"/>
                <w:color w:val="auto"/>
                <w:kern w:val="0"/>
                <w:sz w:val="21"/>
                <w:szCs w:val="21"/>
              </w:rPr>
              <w:t> </w:t>
            </w: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二、上年结转政府信息公开申请数量</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3</w:t>
            </w:r>
          </w:p>
        </w:tc>
      </w:tr>
      <w:tr>
        <w:tblPrEx>
          <w:tblCellMar>
            <w:top w:w="0" w:type="dxa"/>
            <w:left w:w="0" w:type="dxa"/>
            <w:bottom w:w="0" w:type="dxa"/>
            <w:right w:w="0" w:type="dxa"/>
          </w:tblCellMar>
        </w:tblPrEx>
        <w:tc>
          <w:tcPr>
            <w:tcW w:w="1053" w:type="dxa"/>
            <w:vMerge w:val="restart"/>
            <w:tcBorders>
              <w:top w:val="nil"/>
              <w:left w:val="single" w:color="auto" w:sz="8" w:space="0"/>
              <w:bottom w:val="single" w:color="auto" w:sz="8" w:space="0"/>
              <w:right w:val="single" w:color="auto" w:sz="8" w:space="0"/>
            </w:tcBorders>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三、本年度办理结果</w:t>
            </w: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（一）予以公开</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5</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3</w:t>
            </w:r>
            <w:r>
              <w:rPr>
                <w:rFonts w:hint="eastAsia" w:ascii="Times New Roman" w:hAnsi="Times New Roman" w:eastAsia="仿宋_GB2312" w:cs="仿宋_GB2312"/>
                <w:color w:val="auto"/>
                <w:kern w:val="0"/>
                <w:sz w:val="21"/>
                <w:szCs w:val="21"/>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（二）部分公开（区分处理的，只计这一情形，不计其他情形）</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（三）不予公开</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1.属于国家秘密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2.其他法律行政法规禁止公开</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3.危及“三安全一稳定”</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4.保护第三方合法权益</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5.属于三类内部事务信息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6.属于四类过程性信息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r>
      <w:tr>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7.属于行政执法案卷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8.属于行政查询事项</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（四）无法提供</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1.本机关不掌握相关政府信息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3</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3</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2.没有现成信息需要另行制作</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3.补正后申请内容仍不明确</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（五）不予处理</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1.信访举报投诉类申请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2.重复申请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3.要求提供公开出版物</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4.无正当理由大量反复申请</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5.要求行政机关确认或重新出具已获取信息</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（六）其他处理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r>
      <w:tr>
        <w:tblPrEx>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2774" w:type="dxa"/>
            <w:gridSpan w:val="2"/>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（七）总计</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8</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6</w:t>
            </w:r>
            <w:r>
              <w:rPr>
                <w:rFonts w:hint="eastAsia" w:ascii="Times New Roman" w:hAnsi="Times New Roman" w:eastAsia="仿宋_GB2312" w:cs="仿宋_GB2312"/>
                <w:color w:val="auto"/>
                <w:kern w:val="0"/>
                <w:sz w:val="21"/>
                <w:szCs w:val="21"/>
              </w:rPr>
              <w:t> </w:t>
            </w:r>
          </w:p>
        </w:tc>
      </w:tr>
      <w:tr>
        <w:tblPrEx>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四、结转下年度继续办理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p>
        </w:tc>
      </w:tr>
    </w:tbl>
    <w:p>
      <w:pPr>
        <w:widowControl/>
        <w:spacing w:line="578" w:lineRule="exact"/>
        <w:rPr>
          <w:rFonts w:hint="eastAsia" w:ascii="Times New Roman" w:hAnsi="Times New Roman" w:eastAsia="仿宋_GB2312" w:cs="仿宋_GB2312"/>
          <w:color w:val="auto"/>
          <w:kern w:val="0"/>
          <w:sz w:val="21"/>
          <w:szCs w:val="21"/>
        </w:rPr>
      </w:pPr>
    </w:p>
    <w:p>
      <w:pPr>
        <w:widowControl/>
        <w:spacing w:line="578" w:lineRule="exact"/>
        <w:rPr>
          <w:rFonts w:hint="eastAsia" w:ascii="Times New Roman" w:hAnsi="Times New Roman" w:eastAsia="仿宋_GB2312" w:cs="仿宋_GB2312"/>
          <w:bCs/>
          <w:color w:val="auto"/>
          <w:kern w:val="0"/>
          <w:sz w:val="21"/>
          <w:szCs w:val="21"/>
        </w:rPr>
      </w:pPr>
    </w:p>
    <w:p>
      <w:pPr>
        <w:widowControl/>
        <w:spacing w:line="578" w:lineRule="exact"/>
        <w:rPr>
          <w:rFonts w:hint="eastAsia" w:ascii="Times New Roman" w:hAnsi="Times New Roman" w:eastAsia="仿宋_GB2312" w:cs="仿宋_GB2312"/>
          <w:bCs/>
          <w:color w:val="auto"/>
          <w:kern w:val="0"/>
          <w:sz w:val="21"/>
          <w:szCs w:val="21"/>
        </w:rPr>
      </w:pPr>
    </w:p>
    <w:p>
      <w:pPr>
        <w:widowControl/>
        <w:spacing w:line="578" w:lineRule="exact"/>
        <w:rPr>
          <w:rFonts w:hint="eastAsia" w:ascii="Times New Roman" w:hAnsi="Times New Roman" w:eastAsia="仿宋_GB2312" w:cs="仿宋_GB2312"/>
          <w:bCs/>
          <w:color w:val="auto"/>
          <w:kern w:val="0"/>
          <w:sz w:val="21"/>
          <w:szCs w:val="21"/>
        </w:rPr>
      </w:pPr>
    </w:p>
    <w:p>
      <w:pPr>
        <w:widowControl/>
        <w:spacing w:line="578" w:lineRule="exact"/>
        <w:rPr>
          <w:rFonts w:hint="eastAsia" w:ascii="Times New Roman" w:hAnsi="Times New Roman" w:eastAsia="仿宋_GB2312" w:cs="仿宋_GB2312"/>
          <w:bCs/>
          <w:color w:val="auto"/>
          <w:kern w:val="0"/>
          <w:sz w:val="21"/>
          <w:szCs w:val="21"/>
        </w:rPr>
      </w:pPr>
    </w:p>
    <w:p>
      <w:pPr>
        <w:widowControl/>
        <w:spacing w:line="578" w:lineRule="exac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bCs/>
          <w:color w:val="auto"/>
          <w:kern w:val="0"/>
          <w:sz w:val="21"/>
          <w:szCs w:val="21"/>
        </w:rPr>
        <w:t>四、政府信息公开行政复议、行政诉讼情况</w:t>
      </w:r>
    </w:p>
    <w:tbl>
      <w:tblPr>
        <w:tblStyle w:val="3"/>
        <w:tblW w:w="9214" w:type="dxa"/>
        <w:tblInd w:w="132" w:type="dxa"/>
        <w:tblLayout w:type="autofit"/>
        <w:tblCellMar>
          <w:top w:w="0" w:type="dxa"/>
          <w:left w:w="0" w:type="dxa"/>
          <w:bottom w:w="0" w:type="dxa"/>
          <w:right w:w="0" w:type="dxa"/>
        </w:tblCellMar>
      </w:tblPr>
      <w:tblGrid>
        <w:gridCol w:w="900"/>
        <w:gridCol w:w="604"/>
        <w:gridCol w:w="604"/>
        <w:gridCol w:w="604"/>
        <w:gridCol w:w="658"/>
        <w:gridCol w:w="550"/>
        <w:gridCol w:w="605"/>
        <w:gridCol w:w="605"/>
        <w:gridCol w:w="605"/>
        <w:gridCol w:w="502"/>
        <w:gridCol w:w="709"/>
        <w:gridCol w:w="604"/>
        <w:gridCol w:w="530"/>
        <w:gridCol w:w="567"/>
        <w:gridCol w:w="567"/>
      </w:tblGrid>
      <w:tr>
        <w:tblPrEx>
          <w:tblCellMar>
            <w:top w:w="0" w:type="dxa"/>
            <w:left w:w="0" w:type="dxa"/>
            <w:bottom w:w="0" w:type="dxa"/>
            <w:right w:w="0" w:type="dxa"/>
          </w:tblCellMar>
        </w:tblPrEx>
        <w:tc>
          <w:tcPr>
            <w:tcW w:w="337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行政复议</w:t>
            </w:r>
          </w:p>
        </w:tc>
        <w:tc>
          <w:tcPr>
            <w:tcW w:w="5844"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行政诉讼</w:t>
            </w:r>
          </w:p>
        </w:tc>
      </w:tr>
      <w:tr>
        <w:tblPrEx>
          <w:tblCellMar>
            <w:top w:w="0" w:type="dxa"/>
            <w:left w:w="0" w:type="dxa"/>
            <w:bottom w:w="0" w:type="dxa"/>
            <w:right w:w="0" w:type="dxa"/>
          </w:tblCellMar>
        </w:tblPrEx>
        <w:tc>
          <w:tcPr>
            <w:tcW w:w="90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总计</w:t>
            </w:r>
          </w:p>
        </w:tc>
        <w:tc>
          <w:tcPr>
            <w:tcW w:w="286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未经复议直接起诉</w:t>
            </w:r>
          </w:p>
        </w:tc>
        <w:tc>
          <w:tcPr>
            <w:tcW w:w="297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复议后起诉</w:t>
            </w:r>
          </w:p>
        </w:tc>
      </w:tr>
      <w:tr>
        <w:tblPrEx>
          <w:tblCellMar>
            <w:top w:w="0" w:type="dxa"/>
            <w:left w:w="0" w:type="dxa"/>
            <w:bottom w:w="0" w:type="dxa"/>
            <w:right w:w="0" w:type="dxa"/>
          </w:tblCellMar>
        </w:tblPrEx>
        <w:tc>
          <w:tcPr>
            <w:tcW w:w="900" w:type="dxa"/>
            <w:vMerge w:val="continue"/>
            <w:tcBorders>
              <w:top w:val="nil"/>
              <w:left w:val="single" w:color="auto" w:sz="8" w:space="0"/>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nil"/>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578" w:lineRule="exact"/>
              <w:jc w:val="left"/>
              <w:rPr>
                <w:rFonts w:hint="eastAsia" w:ascii="Times New Roman" w:hAnsi="Times New Roman" w:eastAsia="仿宋_GB2312" w:cs="仿宋_GB2312"/>
                <w:color w:val="auto"/>
                <w:kern w:val="0"/>
                <w:sz w:val="21"/>
                <w:szCs w:val="21"/>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尚未审结</w:t>
            </w:r>
          </w:p>
        </w:tc>
        <w:tc>
          <w:tcPr>
            <w:tcW w:w="5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总计</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结果纠正</w:t>
            </w:r>
          </w:p>
        </w:tc>
        <w:tc>
          <w:tcPr>
            <w:tcW w:w="5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其他结果</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尚未审结</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rPr>
              <w:t>总计</w:t>
            </w:r>
          </w:p>
        </w:tc>
      </w:tr>
      <w:tr>
        <w:tblPrEx>
          <w:tblCellMar>
            <w:top w:w="0" w:type="dxa"/>
            <w:left w:w="0" w:type="dxa"/>
            <w:bottom w:w="0" w:type="dxa"/>
            <w:right w:w="0" w:type="dxa"/>
          </w:tblCellMar>
        </w:tblPrEx>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5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rPr>
              <w:t> </w:t>
            </w:r>
            <w:r>
              <w:rPr>
                <w:rFonts w:hint="eastAsia" w:ascii="Times New Roman" w:hAnsi="Times New Roman" w:eastAsia="仿宋_GB2312" w:cs="仿宋_GB2312"/>
                <w:color w:val="auto"/>
                <w:kern w:val="0"/>
                <w:sz w:val="21"/>
                <w:szCs w:val="21"/>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5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color w:val="auto"/>
                <w:kern w:val="0"/>
                <w:sz w:val="21"/>
                <w:szCs w:val="21"/>
                <w:lang w:val="en-US" w:eastAsia="zh-CN"/>
              </w:rPr>
              <w:t>0</w:t>
            </w:r>
            <w:r>
              <w:rPr>
                <w:rFonts w:hint="eastAsia" w:ascii="Times New Roman" w:hAnsi="Times New Roman" w:eastAsia="仿宋_GB2312" w:cs="仿宋_GB2312"/>
                <w:color w:val="auto"/>
                <w:kern w:val="0"/>
                <w:sz w:val="21"/>
                <w:szCs w:val="21"/>
              </w:rPr>
              <w:t> </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center"/>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8" w:lineRule="exact"/>
              <w:jc w:val="left"/>
              <w:rPr>
                <w:rFonts w:hint="eastAsia" w:ascii="Times New Roman" w:hAnsi="Times New Roman" w:eastAsia="仿宋_GB2312" w:cs="仿宋_GB2312"/>
                <w:color w:val="auto"/>
                <w:kern w:val="0"/>
                <w:sz w:val="21"/>
                <w:szCs w:val="21"/>
                <w:lang w:val="en-US" w:eastAsia="zh-CN"/>
              </w:rPr>
            </w:pPr>
            <w:r>
              <w:rPr>
                <w:rFonts w:hint="eastAsia" w:ascii="Times New Roman" w:hAnsi="Times New Roman" w:eastAsia="仿宋_GB2312" w:cs="仿宋_GB2312"/>
                <w:color w:val="auto"/>
                <w:kern w:val="0"/>
                <w:sz w:val="21"/>
                <w:szCs w:val="21"/>
                <w:lang w:val="en-US" w:eastAsia="zh-CN"/>
              </w:rPr>
              <w:t>0</w:t>
            </w:r>
          </w:p>
        </w:tc>
      </w:tr>
    </w:tbl>
    <w:p>
      <w:pPr>
        <w:widowControl/>
        <w:spacing w:line="578" w:lineRule="exact"/>
        <w:rPr>
          <w:rFonts w:ascii="Times New Roman" w:hAnsi="Times New Roman" w:cs="宋体"/>
          <w:b/>
          <w:bCs/>
          <w:color w:val="auto"/>
          <w:kern w:val="0"/>
          <w:sz w:val="24"/>
        </w:rPr>
      </w:pPr>
    </w:p>
    <w:p>
      <w:pPr>
        <w:widowControl/>
        <w:spacing w:line="578" w:lineRule="exact"/>
        <w:rPr>
          <w:rFonts w:ascii="Times New Roman" w:hAnsi="Times New Roman" w:eastAsia="黑体" w:cs="宋体"/>
          <w:color w:val="auto"/>
          <w:kern w:val="0"/>
          <w:sz w:val="32"/>
          <w:szCs w:val="32"/>
        </w:rPr>
      </w:pPr>
      <w:r>
        <w:rPr>
          <w:rFonts w:hint="eastAsia" w:ascii="Times New Roman" w:hAnsi="Times New Roman" w:eastAsia="黑体" w:cs="宋体"/>
          <w:bCs/>
          <w:color w:val="auto"/>
          <w:kern w:val="0"/>
          <w:sz w:val="32"/>
          <w:szCs w:val="32"/>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i w:val="0"/>
          <w:caps w:val="0"/>
          <w:color w:val="auto"/>
          <w:spacing w:val="0"/>
          <w:kern w:val="0"/>
          <w:sz w:val="32"/>
          <w:szCs w:val="32"/>
          <w:shd w:val="clear" w:fill="FFFFFF"/>
          <w:lang w:val="en-US" w:eastAsia="zh-CN" w:bidi="ar"/>
        </w:rPr>
        <w:t>（一）存在不足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i w:val="0"/>
          <w:caps w:val="0"/>
          <w:color w:val="auto"/>
          <w:spacing w:val="0"/>
          <w:kern w:val="0"/>
          <w:sz w:val="32"/>
          <w:szCs w:val="32"/>
          <w:shd w:val="clear" w:fill="FFFFFF"/>
          <w:lang w:val="en-US" w:eastAsia="zh-CN" w:bidi="ar"/>
        </w:rPr>
        <w:t>一是重视程度不够。少数乡镇、部门对政务公开重要性的认识不够，乡镇之间、部门之间工作进展不均衡。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i w:val="0"/>
          <w:caps w:val="0"/>
          <w:color w:val="auto"/>
          <w:spacing w:val="0"/>
          <w:kern w:val="0"/>
          <w:sz w:val="32"/>
          <w:szCs w:val="32"/>
          <w:shd w:val="clear" w:fill="FFFFFF"/>
          <w:lang w:val="en-US" w:eastAsia="zh-CN" w:bidi="ar"/>
        </w:rPr>
        <w:t>二是公开深度不彻底。一些该公开的信息内容未公开或者未全面公开，部分单位公开的内容避实就虚。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i w:val="0"/>
          <w:caps w:val="0"/>
          <w:color w:val="auto"/>
          <w:spacing w:val="0"/>
          <w:kern w:val="0"/>
          <w:sz w:val="32"/>
          <w:szCs w:val="32"/>
          <w:shd w:val="clear" w:fill="FFFFFF"/>
          <w:lang w:val="en-US" w:eastAsia="zh-CN" w:bidi="ar"/>
        </w:rPr>
        <w:t>三是公开重点不突出。少数部门公开的内容不具体，重点不突出，对群众关心的热点难点问题、关键领域等应该公开的未能做到全部公开。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i w:val="0"/>
          <w:caps w:val="0"/>
          <w:color w:val="auto"/>
          <w:spacing w:val="0"/>
          <w:kern w:val="0"/>
          <w:sz w:val="32"/>
          <w:szCs w:val="32"/>
          <w:shd w:val="clear" w:fill="FFFFFF"/>
          <w:lang w:val="en-US" w:eastAsia="zh-CN" w:bidi="ar"/>
        </w:rPr>
        <w:t>四是公开不及时。部分单位公开内容更新不及时，没有做到动态管理。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i w:val="0"/>
          <w:caps w:val="0"/>
          <w:color w:val="auto"/>
          <w:spacing w:val="0"/>
          <w:kern w:val="0"/>
          <w:sz w:val="32"/>
          <w:szCs w:val="32"/>
          <w:shd w:val="clear" w:fill="FFFFFF"/>
          <w:lang w:val="en-US" w:eastAsia="zh-CN" w:bidi="ar"/>
        </w:rPr>
        <w:t>（二）改进措施</w:t>
      </w:r>
      <w:r>
        <w:rPr>
          <w:rFonts w:hint="eastAsia" w:ascii="Times New Roman" w:hAnsi="Times New Roman" w:eastAsia="仿宋_GB2312" w:cs="仿宋_GB2312"/>
          <w:i w:val="0"/>
          <w:caps w:val="0"/>
          <w:color w:val="auto"/>
          <w:spacing w:val="0"/>
          <w:kern w:val="0"/>
          <w:sz w:val="32"/>
          <w:szCs w:val="32"/>
          <w:shd w:val="clear" w:fill="FFFFFF"/>
          <w:lang w:val="en-US" w:eastAsia="zh-CN" w:bidi="ar"/>
        </w:rPr>
        <w:br w:type="textWrapping"/>
      </w:r>
      <w:r>
        <w:rPr>
          <w:rFonts w:hint="eastAsia" w:ascii="Times New Roman" w:hAnsi="Times New Roman" w:eastAsia="仿宋_GB2312" w:cs="仿宋_GB2312"/>
          <w:i w:val="0"/>
          <w:caps w:val="0"/>
          <w:color w:val="auto"/>
          <w:spacing w:val="0"/>
          <w:kern w:val="0"/>
          <w:sz w:val="32"/>
          <w:szCs w:val="32"/>
          <w:shd w:val="clear" w:fill="FFFFFF"/>
          <w:lang w:val="en-US" w:eastAsia="zh-CN" w:bidi="ar"/>
        </w:rPr>
        <w:t>　　一是改变工作观念。加大政务公开宣传普及力度，让各部门、乡镇深入了解政务公开对社会、经济发展的重要作用，调动各部门、乡镇的工作积极性。</w:t>
      </w:r>
      <w:r>
        <w:rPr>
          <w:rFonts w:hint="eastAsia" w:ascii="Times New Roman" w:hAnsi="Times New Roman" w:eastAsia="仿宋_GB2312" w:cs="仿宋_GB2312"/>
          <w:i w:val="0"/>
          <w:caps w:val="0"/>
          <w:color w:val="auto"/>
          <w:spacing w:val="0"/>
          <w:kern w:val="0"/>
          <w:sz w:val="32"/>
          <w:szCs w:val="32"/>
          <w:shd w:val="clear" w:fill="FFFFFF"/>
          <w:lang w:val="en-US" w:eastAsia="zh-CN" w:bidi="ar"/>
        </w:rPr>
        <w:br w:type="textWrapping"/>
      </w:r>
      <w:r>
        <w:rPr>
          <w:rFonts w:hint="eastAsia" w:ascii="Times New Roman" w:hAnsi="Times New Roman" w:eastAsia="仿宋_GB2312" w:cs="仿宋_GB2312"/>
          <w:i w:val="0"/>
          <w:caps w:val="0"/>
          <w:color w:val="auto"/>
          <w:spacing w:val="0"/>
          <w:kern w:val="0"/>
          <w:sz w:val="32"/>
          <w:szCs w:val="32"/>
          <w:shd w:val="clear" w:fill="FFFFFF"/>
          <w:lang w:val="en-US" w:eastAsia="zh-CN" w:bidi="ar"/>
        </w:rPr>
        <w:t>　　二是开展多种类的业务培训。除了定期的整改培训外，开展集中学习集中办公来推动工作的开展；组织座谈会，听取各部门、乡镇的工作痛点、难点，寻找解决办法。</w:t>
      </w:r>
      <w:r>
        <w:rPr>
          <w:rFonts w:hint="eastAsia" w:ascii="Times New Roman" w:hAnsi="Times New Roman" w:eastAsia="仿宋_GB2312" w:cs="仿宋_GB2312"/>
          <w:i w:val="0"/>
          <w:caps w:val="0"/>
          <w:color w:val="auto"/>
          <w:spacing w:val="0"/>
          <w:kern w:val="0"/>
          <w:sz w:val="32"/>
          <w:szCs w:val="32"/>
          <w:shd w:val="clear" w:fill="FFFFFF"/>
          <w:lang w:val="en-US" w:eastAsia="zh-CN" w:bidi="ar"/>
        </w:rPr>
        <w:br w:type="textWrapping"/>
      </w:r>
      <w:r>
        <w:rPr>
          <w:rFonts w:hint="eastAsia" w:ascii="Times New Roman" w:hAnsi="Times New Roman" w:eastAsia="仿宋_GB2312" w:cs="仿宋_GB2312"/>
          <w:i w:val="0"/>
          <w:caps w:val="0"/>
          <w:color w:val="auto"/>
          <w:spacing w:val="0"/>
          <w:kern w:val="0"/>
          <w:sz w:val="32"/>
          <w:szCs w:val="32"/>
          <w:shd w:val="clear" w:fill="FFFFFF"/>
          <w:lang w:val="en-US" w:eastAsia="zh-CN" w:bidi="ar"/>
        </w:rPr>
        <w:t>　　三是扩展督查检查渠道和形式。开展定期第三方测评工作，借助第三方测评来对政务公开工作进行阶段性检验；通过实地走访督查各单位政务公开的常态化开展情况；不定期进行抽查，对检查情况进行县内通报。</w:t>
      </w:r>
      <w:r>
        <w:rPr>
          <w:rFonts w:hint="eastAsia" w:ascii="Times New Roman" w:hAnsi="Times New Roman" w:eastAsia="仿宋_GB2312" w:cs="仿宋_GB2312"/>
          <w:i w:val="0"/>
          <w:caps w:val="0"/>
          <w:color w:val="auto"/>
          <w:spacing w:val="0"/>
          <w:kern w:val="0"/>
          <w:sz w:val="32"/>
          <w:szCs w:val="32"/>
          <w:shd w:val="clear" w:fill="FFFFFF"/>
          <w:lang w:val="en-US" w:eastAsia="zh-CN" w:bidi="ar"/>
        </w:rPr>
        <w:br w:type="textWrapping"/>
      </w:r>
      <w:r>
        <w:rPr>
          <w:rFonts w:hint="eastAsia" w:ascii="Times New Roman" w:hAnsi="Times New Roman" w:eastAsia="仿宋_GB2312" w:cs="仿宋_GB2312"/>
          <w:i w:val="0"/>
          <w:caps w:val="0"/>
          <w:color w:val="auto"/>
          <w:spacing w:val="0"/>
          <w:kern w:val="0"/>
          <w:sz w:val="32"/>
          <w:szCs w:val="32"/>
          <w:shd w:val="clear" w:fill="FFFFFF"/>
          <w:lang w:val="en-US" w:eastAsia="zh-CN" w:bidi="ar"/>
        </w:rPr>
        <w:t>　　四是建立健全政务公开各项工作制度。对标先进地区找差距，学习先进地市、县区的各项工作制度，补齐本县的制度短板，根据上级的规范调整同步调整完善各项工作制度。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color w:val="auto"/>
          <w:kern w:val="0"/>
          <w:sz w:val="32"/>
          <w:szCs w:val="32"/>
        </w:rPr>
      </w:pPr>
      <w:r>
        <w:rPr>
          <w:rFonts w:hint="eastAsia" w:ascii="Times New Roman" w:hAnsi="Times New Roman" w:eastAsia="黑体" w:cs="黑体"/>
          <w:bCs/>
          <w:color w:val="auto"/>
          <w:kern w:val="0"/>
          <w:sz w:val="32"/>
          <w:szCs w:val="32"/>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b w:val="0"/>
          <w:bCs/>
          <w:i w:val="0"/>
          <w:caps w:val="0"/>
          <w:color w:val="auto"/>
          <w:spacing w:val="0"/>
          <w:kern w:val="0"/>
          <w:sz w:val="32"/>
          <w:szCs w:val="32"/>
          <w:shd w:val="clear" w:fill="FFFFFF"/>
          <w:lang w:val="en-US" w:eastAsia="zh-CN" w:bidi="ar"/>
        </w:rPr>
        <w:t>一是进一步规范信息公开目录。</w:t>
      </w:r>
      <w:r>
        <w:rPr>
          <w:rFonts w:hint="eastAsia" w:ascii="Times New Roman" w:hAnsi="Times New Roman" w:eastAsia="仿宋_GB2312" w:cs="仿宋_GB2312"/>
          <w:b w:val="0"/>
          <w:i w:val="0"/>
          <w:caps w:val="0"/>
          <w:color w:val="auto"/>
          <w:spacing w:val="0"/>
          <w:kern w:val="0"/>
          <w:sz w:val="32"/>
          <w:szCs w:val="32"/>
          <w:shd w:val="clear" w:fill="FFFFFF"/>
          <w:lang w:val="en-US" w:eastAsia="zh-CN" w:bidi="ar"/>
        </w:rPr>
        <w:t>按照县（市、区）级政府信息主动公开目录规范（2019年版）对区级目录进行了重新梳理调整完善。围绕"五公开"全流程、重点领域和政策解读、回应关切，及时对区政府政务公开目录进行优化和调整。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600" w:lineRule="exact"/>
        <w:ind w:left="0" w:right="0" w:firstLine="640" w:firstLineChars="200"/>
        <w:jc w:val="left"/>
        <w:textAlignment w:val="auto"/>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b w:val="0"/>
          <w:bCs/>
          <w:i w:val="0"/>
          <w:caps w:val="0"/>
          <w:color w:val="auto"/>
          <w:spacing w:val="0"/>
          <w:kern w:val="0"/>
          <w:sz w:val="32"/>
          <w:szCs w:val="32"/>
          <w:shd w:val="clear" w:fill="FFFFFF"/>
          <w:lang w:val="en-US" w:eastAsia="zh-CN" w:bidi="ar"/>
        </w:rPr>
        <w:t>二是基层政务公开标准化规范化试点成果运用推广工作。</w:t>
      </w:r>
      <w:r>
        <w:rPr>
          <w:rFonts w:hint="eastAsia" w:ascii="Times New Roman" w:hAnsi="Times New Roman" w:eastAsia="仿宋_GB2312" w:cs="仿宋_GB2312"/>
          <w:b w:val="0"/>
          <w:i w:val="0"/>
          <w:caps w:val="0"/>
          <w:color w:val="auto"/>
          <w:spacing w:val="0"/>
          <w:kern w:val="0"/>
          <w:sz w:val="32"/>
          <w:szCs w:val="32"/>
          <w:shd w:val="clear" w:fill="FFFFFF"/>
          <w:lang w:val="en-US" w:eastAsia="zh-CN" w:bidi="ar"/>
        </w:rPr>
        <w:t>2019年以来，国家各有关部委围绕国家26个试点领域，先后出台一系列标准指引规范。我办根据《淮南市人民政府办公室关于印发开展基层政务公开标准化规范化试点工作实施方案的通知》（淮府办秘〔2017〕243号）要求，制作专题界面进行试点成果标准目录的展示，不断提升我区基层政务公开标准化规范化水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sz w:val="32"/>
          <w:szCs w:val="32"/>
          <w:lang w:eastAsia="zh-CN"/>
        </w:rPr>
      </w:pPr>
    </w:p>
    <w:sectPr>
      <w:pgSz w:w="11906" w:h="16838"/>
      <w:pgMar w:top="2154" w:right="1587" w:bottom="215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57218"/>
    <w:multiLevelType w:val="singleLevel"/>
    <w:tmpl w:val="F2857218"/>
    <w:lvl w:ilvl="0" w:tentative="0">
      <w:start w:val="1"/>
      <w:numFmt w:val="chineseCounting"/>
      <w:suff w:val="nothing"/>
      <w:lvlText w:val="（%1）"/>
      <w:lvlJc w:val="left"/>
      <w:rPr>
        <w:rFonts w:hint="eastAsia"/>
      </w:rPr>
    </w:lvl>
  </w:abstractNum>
  <w:abstractNum w:abstractNumId="1">
    <w:nsid w:val="F3EEE1B6"/>
    <w:multiLevelType w:val="singleLevel"/>
    <w:tmpl w:val="F3EEE1B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RlNzJkNzhiYzk5YTQ4MDllZmRiYmU0Y2U3ZjIifQ=="/>
  </w:docVars>
  <w:rsids>
    <w:rsidRoot w:val="00000000"/>
    <w:rsid w:val="12833401"/>
    <w:rsid w:val="12DF51C7"/>
    <w:rsid w:val="17307D59"/>
    <w:rsid w:val="4DD65B86"/>
    <w:rsid w:val="57276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3358</Words>
  <Characters>3464</Characters>
  <Lines>0</Lines>
  <Paragraphs>0</Paragraphs>
  <TotalTime>30</TotalTime>
  <ScaleCrop>false</ScaleCrop>
  <LinksUpToDate>false</LinksUpToDate>
  <CharactersWithSpaces>3641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波罗蜜冬瓜</cp:lastModifiedBy>
  <dcterms:modified xsi:type="dcterms:W3CDTF">2023-01-31T04:46:01Z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6DD69AE90A034A9AAB7A8E3BBFBAB7CC</vt:lpwstr>
  </property>
</Properties>
</file>