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jc w:val="center"/>
        <w:rPr>
          <w:rStyle w:val="7"/>
          <w:rFonts w:cs="Times New Roman" w:asciiTheme="majorEastAsia" w:hAnsiTheme="majorEastAsia" w:eastAsiaTheme="majorEastAsia"/>
          <w:bCs w:val="0"/>
          <w:sz w:val="44"/>
          <w:szCs w:val="44"/>
        </w:rPr>
      </w:pPr>
    </w:p>
    <w:p>
      <w:pPr>
        <w:pStyle w:val="4"/>
        <w:spacing w:before="0" w:beforeAutospacing="0" w:after="0" w:afterAutospacing="0" w:line="580" w:lineRule="exact"/>
        <w:jc w:val="center"/>
        <w:rPr>
          <w:rStyle w:val="7"/>
          <w:rFonts w:cs="Times New Roman" w:asciiTheme="majorEastAsia" w:hAnsiTheme="majorEastAsia" w:eastAsiaTheme="majorEastAsia"/>
          <w:bCs w:val="0"/>
          <w:sz w:val="44"/>
          <w:szCs w:val="44"/>
        </w:rPr>
      </w:pP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</w:rPr>
        <w:t>20</w:t>
      </w: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  <w:lang w:val="en-US" w:eastAsia="zh-CN"/>
        </w:rPr>
        <w:t>22</w:t>
      </w: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</w:rPr>
        <w:t>年</w:t>
      </w: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  <w:lang w:val="en-US" w:eastAsia="zh-CN"/>
        </w:rPr>
        <w:t>谢家集区政府</w:t>
      </w:r>
      <w:r>
        <w:rPr>
          <w:rStyle w:val="7"/>
          <w:rFonts w:hint="eastAsia" w:cs="Times New Roman" w:asciiTheme="majorEastAsia" w:hAnsiTheme="majorEastAsia" w:eastAsiaTheme="majorEastAsia"/>
          <w:bCs w:val="0"/>
          <w:sz w:val="44"/>
          <w:szCs w:val="44"/>
        </w:rPr>
        <w:t>决算相关名词解释</w:t>
      </w:r>
    </w:p>
    <w:p>
      <w:pPr>
        <w:pStyle w:val="4"/>
        <w:spacing w:beforeLines="50" w:beforeAutospacing="0" w:after="0" w:afterAutospacing="0" w:line="580" w:lineRule="exact"/>
        <w:ind w:firstLine="630" w:firstLineChars="196"/>
        <w:rPr>
          <w:rFonts w:ascii="仿宋_GB2312" w:hAnsi="仿宋" w:eastAsia="仿宋_GB2312" w:cs="Times New Roman"/>
          <w:sz w:val="32"/>
          <w:szCs w:val="32"/>
        </w:rPr>
      </w:pPr>
      <w:r>
        <w:rPr>
          <w:rStyle w:val="7"/>
          <w:rFonts w:hint="eastAsia" w:ascii="仿宋_GB2312" w:hAnsi="仿宋" w:eastAsia="仿宋_GB2312" w:cs="Times New Roman"/>
          <w:bCs w:val="0"/>
          <w:sz w:val="32"/>
          <w:szCs w:val="32"/>
        </w:rPr>
        <w:t>1.年终结余。</w:t>
      </w:r>
      <w:r>
        <w:rPr>
          <w:rFonts w:hint="eastAsia" w:ascii="仿宋_GB2312" w:hAnsi="仿宋" w:eastAsia="仿宋_GB2312" w:cs="Times New Roman"/>
          <w:sz w:val="32"/>
          <w:szCs w:val="32"/>
        </w:rPr>
        <w:t>指财政预算收入和支出相抵后的差额。包括结转下年</w:t>
      </w:r>
      <w:r>
        <w:rPr>
          <w:rFonts w:hint="eastAsia" w:ascii="仿宋_GB2312" w:hAnsi="楷体" w:eastAsia="仿宋_GB2312" w:cs="Times New Roman"/>
          <w:sz w:val="32"/>
          <w:szCs w:val="32"/>
        </w:rPr>
        <w:t>（支出预算未执行完毕或因故未执行，需根据规定结转下年继续使用的支出）</w:t>
      </w:r>
      <w:r>
        <w:rPr>
          <w:rFonts w:hint="eastAsia" w:ascii="仿宋_GB2312" w:hAnsi="仿宋" w:eastAsia="仿宋_GB2312" w:cs="Times New Roman"/>
          <w:sz w:val="32"/>
          <w:szCs w:val="32"/>
        </w:rPr>
        <w:t>和净结余</w:t>
      </w:r>
      <w:r>
        <w:rPr>
          <w:rFonts w:hint="eastAsia" w:ascii="仿宋_GB2312" w:hAnsi="楷体" w:eastAsia="仿宋_GB2312" w:cs="Times New Roman"/>
          <w:sz w:val="32"/>
          <w:szCs w:val="32"/>
        </w:rPr>
        <w:t>（根据新预算法规定，一般公共预算结余全部转入预算稳定调节基金，因此该项金额为零）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>
      <w:pPr>
        <w:pStyle w:val="4"/>
        <w:spacing w:beforeLines="50" w:beforeAutospacing="0" w:after="0" w:afterAutospacing="0" w:line="580" w:lineRule="exact"/>
        <w:ind w:firstLine="630" w:firstLineChars="196"/>
      </w:pPr>
      <w:r>
        <w:rPr>
          <w:rStyle w:val="7"/>
          <w:rFonts w:hint="eastAsia" w:ascii="仿宋_GB2312" w:hAnsi="仿宋" w:eastAsia="仿宋_GB2312" w:cs="Times New Roman"/>
          <w:bCs w:val="0"/>
          <w:sz w:val="32"/>
          <w:szCs w:val="32"/>
        </w:rPr>
        <w:t>2.调入资金。</w:t>
      </w:r>
      <w:r>
        <w:rPr>
          <w:rFonts w:hint="eastAsia" w:ascii="仿宋_GB2312" w:hAnsi="仿宋" w:eastAsia="仿宋_GB2312" w:cs="Times New Roman"/>
          <w:sz w:val="32"/>
          <w:szCs w:val="32"/>
        </w:rPr>
        <w:t>反映从不同性质资</w:t>
      </w:r>
      <w:bookmarkStart w:id="0" w:name="_GoBack"/>
      <w:bookmarkEnd w:id="0"/>
      <w:r>
        <w:rPr>
          <w:rFonts w:hint="eastAsia" w:ascii="仿宋_GB2312" w:hAnsi="仿宋" w:eastAsia="仿宋_GB2312" w:cs="Times New Roman"/>
          <w:sz w:val="32"/>
          <w:szCs w:val="32"/>
        </w:rPr>
        <w:t>金调入可统筹安排使用的收入。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.一般公共预算收入。</w:t>
      </w:r>
      <w:r>
        <w:rPr>
          <w:rFonts w:hint="eastAsia" w:ascii="仿宋_GB2312" w:hAnsi="仿宋" w:eastAsia="仿宋_GB2312"/>
          <w:sz w:val="32"/>
          <w:szCs w:val="32"/>
        </w:rPr>
        <w:t>根据现行财政管理体制规定，一般公共预算收入</w:t>
      </w:r>
      <w:r>
        <w:rPr>
          <w:rFonts w:hint="eastAsia" w:ascii="仿宋_GB2312" w:hAnsi="楷体" w:eastAsia="仿宋_GB2312"/>
          <w:sz w:val="32"/>
          <w:szCs w:val="32"/>
        </w:rPr>
        <w:t>(即地方财政收入)</w:t>
      </w:r>
      <w:r>
        <w:rPr>
          <w:rFonts w:hint="eastAsia" w:ascii="仿宋_GB2312" w:hAnsi="仿宋" w:eastAsia="仿宋_GB2312"/>
          <w:sz w:val="32"/>
          <w:szCs w:val="32"/>
        </w:rPr>
        <w:t>是指划归地方财政的税收和非税收入。主要包括增值税、企业所得税、个人所得税等共享税收地方分享部分，营业税、资源税、城镇土地使用税、土地增值税、房产税、城市维护建设税等地方固定税收，以及非税收入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4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.预算稳定调节基金。</w:t>
      </w:r>
      <w:r>
        <w:rPr>
          <w:rFonts w:hint="eastAsia" w:ascii="仿宋_GB2312" w:hAnsi="仿宋" w:eastAsia="仿宋_GB2312"/>
          <w:sz w:val="32"/>
          <w:szCs w:val="32"/>
        </w:rPr>
        <w:t>指通过超收收入、支出预算结余、盘活财政存量资金等安排的具有储备性质的基金，视预算平衡情况，在安排下年度预算时调入并安排使用，或用于弥补短收年份预算执行的收支缺口。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  <w:rPr>
          <w:rFonts w:ascii="仿宋_GB2312" w:hAnsi="仿宋" w:eastAsia="仿宋_GB2312"/>
          <w:sz w:val="32"/>
          <w:szCs w:val="32"/>
        </w:rPr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.返还性收入。</w:t>
      </w:r>
      <w:r>
        <w:rPr>
          <w:rFonts w:hint="eastAsia" w:ascii="仿宋_GB2312" w:hAnsi="仿宋" w:eastAsia="仿宋_GB2312"/>
          <w:sz w:val="32"/>
          <w:szCs w:val="32"/>
        </w:rPr>
        <w:t>在调整财政体制时，对原属地方的收入上划中央后，为保证地方政府的既得利益，中央给予地方的返还。目前，对省级财政来说，包括中央增值税、消费税返还，所得税返还以及成品油价格和税费改革返还收入。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6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.一般债务收入。</w:t>
      </w:r>
      <w:r>
        <w:rPr>
          <w:rFonts w:hint="eastAsia" w:ascii="仿宋_GB2312" w:hAnsi="仿宋" w:eastAsia="仿宋_GB2312"/>
          <w:sz w:val="32"/>
          <w:szCs w:val="32"/>
        </w:rPr>
        <w:t xml:space="preserve">经国务院批准同意，以省、自治区、直辖市和计划单列市政府为发行主体，为支持没有收益的公益性事业发展，发行一般债券形成的债务收入，纳入一般公共预算管理。 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7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.专项债务收入</w:t>
      </w:r>
      <w:r>
        <w:rPr>
          <w:rFonts w:hint="eastAsia" w:ascii="仿宋_GB2312" w:hAnsi="仿宋" w:eastAsia="仿宋_GB2312"/>
          <w:sz w:val="32"/>
          <w:szCs w:val="32"/>
        </w:rPr>
        <w:t>。经国务院批准同意，以省、自治区、直辖市和计划单列市政府为发行主体，为支持有一定收益的公益性事业发展，发行专项债券形成的债务收入，纳入政府性基金预算管理。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8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.一般公共预算。</w:t>
      </w:r>
      <w:r>
        <w:rPr>
          <w:rFonts w:hint="eastAsia" w:ascii="仿宋_GB2312" w:hAnsi="仿宋"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9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.政府性基金预算。</w:t>
      </w:r>
      <w:r>
        <w:rPr>
          <w:rFonts w:hint="eastAsia" w:ascii="仿宋_GB2312" w:hAnsi="仿宋"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10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.国有资本经营预算。</w:t>
      </w:r>
      <w:r>
        <w:rPr>
          <w:rFonts w:hint="eastAsia" w:ascii="仿宋_GB2312" w:hAnsi="仿宋" w:eastAsia="仿宋_GB2312"/>
          <w:sz w:val="32"/>
          <w:szCs w:val="32"/>
        </w:rPr>
        <w:t>是对国有资本收益作出支出安排的收支预算。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.社会保险基金预算。</w:t>
      </w:r>
      <w:r>
        <w:rPr>
          <w:rFonts w:hint="eastAsia" w:ascii="仿宋_GB2312" w:hAnsi="仿宋" w:eastAsia="仿宋_GB2312"/>
          <w:sz w:val="32"/>
          <w:szCs w:val="32"/>
        </w:rPr>
        <w:t>是对社会保险缴款、一般公共预算安排和其他方式筹集的资金，专项用于社会保险的收支预算。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2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.转移支付。</w:t>
      </w:r>
      <w:r>
        <w:rPr>
          <w:rFonts w:hint="eastAsia" w:ascii="仿宋_GB2312" w:hAnsi="仿宋" w:eastAsia="仿宋_GB2312"/>
          <w:sz w:val="32"/>
          <w:szCs w:val="32"/>
        </w:rPr>
        <w:t>指以各级政府之间所存在的财政能力差异为基础，以实现各地公共服务水平的均等化为主旨，而实行的一种财政资金转移或财政平衡制度。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3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.专项转移支付。</w:t>
      </w:r>
      <w:r>
        <w:rPr>
          <w:rFonts w:hint="eastAsia" w:ascii="仿宋_GB2312" w:hAnsi="仿宋" w:eastAsia="仿宋_GB2312"/>
          <w:sz w:val="32"/>
          <w:szCs w:val="32"/>
        </w:rPr>
        <w:t>指上级政府对承担委托事务、共同事务的下级政府，给予的具有指定用途的资金补助，以及对应由下级政府承担的事务，给予的具有指定用途的奖励或补助。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4.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一般性转移支付。</w:t>
      </w:r>
      <w:r>
        <w:rPr>
          <w:rFonts w:hint="eastAsia" w:ascii="仿宋_GB2312" w:hAnsi="仿宋" w:eastAsia="仿宋_GB2312"/>
          <w:sz w:val="32"/>
          <w:szCs w:val="32"/>
        </w:rPr>
        <w:t>指上级政府对有财力缺口的下级政府，按照规范的办法给予的补助，包括：均衡性转移支付、民族地区转移支付、农村税费改革转移支付、调整工资转移支付，以及基本养老、基本医疗、义务教育等转移支付收入等，地方政府可以按照相关规定统筹安排使用。其中，均衡性转移支付是以促进地区间基本公共服务均等化为目标，选取影响各地财政收支的客观因素，考虑地区间支出成本差异、收入努力程度以及财政困难程度等，按照统一公式分配给地方的补助资金；基本养老、基本医疗、义务教育等补助，主要根据参保人数、学生人数等分配，并将持有居住证人口纳入保障范围。</w:t>
      </w:r>
    </w:p>
    <w:p>
      <w:pPr>
        <w:pStyle w:val="4"/>
        <w:spacing w:beforeLines="50" w:beforeAutospacing="0" w:after="0" w:afterAutospacing="0" w:line="580" w:lineRule="exact"/>
        <w:ind w:firstLine="643" w:firstLineChars="200"/>
      </w:pP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1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  <w:lang w:val="en-US" w:eastAsia="zh-CN"/>
        </w:rPr>
        <w:t>5</w:t>
      </w:r>
      <w:r>
        <w:rPr>
          <w:rStyle w:val="7"/>
          <w:rFonts w:hint="eastAsia" w:ascii="仿宋_GB2312" w:hAnsi="仿宋" w:eastAsia="仿宋_GB2312"/>
          <w:bCs w:val="0"/>
          <w:sz w:val="32"/>
          <w:szCs w:val="32"/>
        </w:rPr>
        <w:t>.民生支出。</w:t>
      </w:r>
      <w:r>
        <w:rPr>
          <w:rFonts w:hint="eastAsia" w:ascii="仿宋_GB2312" w:hAnsi="仿宋" w:eastAsia="仿宋_GB2312"/>
          <w:sz w:val="32"/>
          <w:szCs w:val="32"/>
        </w:rPr>
        <w:t>指财政支出中与人民群众生活直接相关和密切相关的支出，按照财政部有关规定，包括教育、科学技术、文化体育与传媒、社会保障和就业、医疗卫生、节能环保、城乡社区事务、农林水事务、交通运输、商业服务业等事务、国土资源气象等事务、住房保障支出、粮油物资储备管理事务等13类支出。</w:t>
      </w:r>
    </w:p>
    <w:p>
      <w:pPr>
        <w:spacing w:beforeLines="50"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45B1"/>
    <w:rsid w:val="00305761"/>
    <w:rsid w:val="005223D4"/>
    <w:rsid w:val="005F076E"/>
    <w:rsid w:val="00747C44"/>
    <w:rsid w:val="00825778"/>
    <w:rsid w:val="009000F6"/>
    <w:rsid w:val="009345B1"/>
    <w:rsid w:val="00C83103"/>
    <w:rsid w:val="00CD6EFD"/>
    <w:rsid w:val="00CE4E2A"/>
    <w:rsid w:val="00DB5E12"/>
    <w:rsid w:val="021D3557"/>
    <w:rsid w:val="06901CA6"/>
    <w:rsid w:val="0ECF0E83"/>
    <w:rsid w:val="0FF30FB3"/>
    <w:rsid w:val="17296625"/>
    <w:rsid w:val="439678CC"/>
    <w:rsid w:val="4C4C303E"/>
    <w:rsid w:val="610905C4"/>
    <w:rsid w:val="6C334D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217</Words>
  <Characters>1240</Characters>
  <Lines>10</Lines>
  <Paragraphs>2</Paragraphs>
  <TotalTime>0</TotalTime>
  <ScaleCrop>false</ScaleCrop>
  <LinksUpToDate>false</LinksUpToDate>
  <CharactersWithSpaces>1455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2018-07-19T01:29:00Z</dcterms:created>
  <dc:creator>朱叶叶</dc:creator>
  <cp:lastModifiedBy>Administrator</cp:lastModifiedBy>
  <dcterms:modified xsi:type="dcterms:W3CDTF">2023-08-10T01:20:46Z</dcterms:modified>
  <dc:title>淮南市2022年决算相关名词解释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B6C8CF0E03BA4BD4B9938F6958806724</vt:lpwstr>
  </property>
</Properties>
</file>