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第三季度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/>
          <w:lang w:val="en-US" w:eastAsia="zh-CN"/>
        </w:rPr>
        <w:t>王化成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5193"/>
        <w:gridCol w:w="1013"/>
        <w:gridCol w:w="2213"/>
        <w:gridCol w:w="2635"/>
        <w:gridCol w:w="2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第四季度完成情况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鲍广李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M3OTA2MjJiMDg3YmViMjk4ODAyM2RiMTVjYmMifQ=="/>
  </w:docVars>
  <w:rsids>
    <w:rsidRoot w:val="5D6C42E0"/>
    <w:rsid w:val="5D6C4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2024-01-18T07:31:00Z</dcterms:created>
  <dc:creator>肥坨坨儿</dc:creator>
  <cp:lastModifiedBy>肥坨坨儿</cp:lastModifiedBy>
  <dcterms:modified xsi:type="dcterms:W3CDTF">2024-01-18T07:33:47Z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5F820C0E393748DC906BA756E1860151_11</vt:lpwstr>
  </property>
</Properties>
</file>