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谢家集区委政法委专项资金2023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年度绩效自评报告</w:t>
      </w:r>
    </w:p>
    <w:p>
      <w:pPr>
        <w:jc w:val="center"/>
        <w:rPr>
          <w:rFonts w:ascii="仿宋_GB231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一、绩效目标分解下达情况</w:t>
      </w:r>
    </w:p>
    <w:p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根据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中央和省级政法转移支付安排，2023年本单位共收到财政拨款36万元，主要用于司法救助。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、绩效目标完成情况分析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（一）资金投入情况分析。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财政拨款36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万元，实际执行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18.3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万元，资金执行率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50.83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%。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）资金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情况分析。</w:t>
      </w:r>
    </w:p>
    <w:p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实际执行的18.3万元用于司法救助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资金定向分配；及时支付；流程合规；费用内容符合使用规范；项目资金规范执行准确无误；资金的拨付有完整的审批程序和手续；符合项目预算批复或合同规定的用途；不存在截留、挤占、挪用、虚列支出等情况；项目资金使用均严格按照资金管理办法确定的项目、范围、额度进行使用，符合财务管理制度的规定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（三）总体绩效目标完成情况分析。</w:t>
      </w:r>
    </w:p>
    <w:p>
      <w:pPr>
        <w:ind w:firstLine="640" w:firstLineChars="200"/>
        <w:rPr>
          <w:rFonts w:hint="default" w:ascii="仿宋_GB2312" w:hAnsi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本单位始终树立为民服务意识，主动担当作为，把握好救助工作的“人文软关怀”属性，做到应救尽救、当助则助。本年实际执行的中央和省级政法转移支付，救助案件7起，救助困难群众7人。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绩效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完成情况分析。</w:t>
      </w:r>
    </w:p>
    <w:p>
      <w:pPr>
        <w:widowControl/>
        <w:spacing w:line="600" w:lineRule="exact"/>
        <w:ind w:firstLine="643" w:firstLineChars="200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指标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司法救助案件及人员数量≧1个，实际司法救助案件7起，救助人员7人。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严格执行相关制度，保证司法救助专项资金支出的合规性。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确保司法救助资金拨付的及时性。</w:t>
      </w:r>
    </w:p>
    <w:p>
      <w:pPr>
        <w:widowControl/>
        <w:spacing w:line="600" w:lineRule="exact"/>
        <w:ind w:right="-283" w:firstLine="643" w:firstLineChars="200"/>
        <w:rPr>
          <w:rFonts w:hint="default" w:ascii="仿宋_GB2312" w:hAnsi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效益指标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完善司法救助工作，确保开展顺利。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司法救助资金救助群众。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持续开展司法救助工作。</w:t>
      </w:r>
    </w:p>
    <w:p>
      <w:pPr>
        <w:widowControl/>
        <w:spacing w:line="600" w:lineRule="exact"/>
        <w:ind w:right="-283" w:firstLine="643" w:firstLineChars="200"/>
        <w:rPr>
          <w:rFonts w:hint="default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cs="仿宋_GB2312"/>
          <w:b/>
          <w:bCs/>
          <w:snapToGrid w:val="0"/>
          <w:color w:val="auto"/>
          <w:sz w:val="32"/>
          <w:szCs w:val="32"/>
          <w:lang w:val="en-US" w:eastAsia="zh-CN"/>
        </w:rPr>
        <w:t>满意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2"/>
          <w:szCs w:val="32"/>
        </w:rPr>
        <w:t>指标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sz w:val="32"/>
          <w:szCs w:val="32"/>
          <w:lang w:val="en-US" w:eastAsia="zh-CN"/>
        </w:rPr>
        <w:t>确保符合司法救助条件的群众得到救助。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三、偏离绩效目标的原因和下一步改进措施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snapToGrid w:val="0"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snapToGrid w:val="0"/>
          <w:color w:val="auto"/>
          <w:sz w:val="32"/>
          <w:szCs w:val="32"/>
        </w:rPr>
        <w:t>通过自评发现，</w:t>
      </w:r>
      <w:r>
        <w:rPr>
          <w:rFonts w:hint="eastAsia" w:ascii="仿宋_GB2312" w:hAnsi="Calibri" w:eastAsia="仿宋_GB2312" w:cs="Times New Roman"/>
          <w:snapToGrid w:val="0"/>
          <w:color w:val="auto"/>
          <w:sz w:val="32"/>
          <w:szCs w:val="32"/>
        </w:rPr>
        <w:t>专项资金</w:t>
      </w:r>
      <w:r>
        <w:rPr>
          <w:rFonts w:hint="eastAsia" w:ascii="仿宋_GB2312" w:hAnsi="Calibri" w:eastAsia="仿宋_GB2312" w:cs="Times New Roman"/>
          <w:snapToGrid w:val="0"/>
          <w:color w:val="auto"/>
          <w:sz w:val="32"/>
          <w:szCs w:val="32"/>
          <w:lang w:eastAsia="zh-CN"/>
        </w:rPr>
        <w:t>不存在问题，</w:t>
      </w:r>
      <w:r>
        <w:rPr>
          <w:rFonts w:ascii="仿宋_GB2312" w:hAnsi="Calibri" w:eastAsia="仿宋_GB2312" w:cs="Times New Roman"/>
          <w:snapToGrid w:val="0"/>
          <w:color w:val="auto"/>
          <w:sz w:val="32"/>
          <w:szCs w:val="32"/>
        </w:rPr>
        <w:t>取得</w:t>
      </w:r>
      <w:r>
        <w:rPr>
          <w:rFonts w:hint="eastAsia" w:ascii="仿宋_GB2312" w:hAnsi="Calibri" w:eastAsia="仿宋_GB2312" w:cs="Times New Roman"/>
          <w:snapToGrid w:val="0"/>
          <w:color w:val="auto"/>
          <w:sz w:val="32"/>
          <w:szCs w:val="32"/>
          <w:lang w:eastAsia="zh-CN"/>
        </w:rPr>
        <w:t>了预期</w:t>
      </w:r>
      <w:r>
        <w:rPr>
          <w:rFonts w:ascii="仿宋_GB2312" w:hAnsi="Calibri" w:eastAsia="仿宋_GB2312" w:cs="Times New Roman"/>
          <w:snapToGrid w:val="0"/>
          <w:color w:val="auto"/>
          <w:sz w:val="32"/>
          <w:szCs w:val="32"/>
        </w:rPr>
        <w:t>成效</w:t>
      </w:r>
      <w:r>
        <w:rPr>
          <w:rFonts w:hint="eastAsia" w:ascii="仿宋_GB2312" w:hAnsi="Calibri" w:eastAsia="仿宋_GB2312" w:cs="Times New Roman"/>
          <w:snapToGrid w:val="0"/>
          <w:color w:val="auto"/>
          <w:sz w:val="32"/>
          <w:szCs w:val="32"/>
          <w:lang w:eastAsia="zh-CN"/>
        </w:rPr>
        <w:t>。今后进一步加强</w:t>
      </w:r>
      <w:r>
        <w:rPr>
          <w:rFonts w:hint="eastAsia" w:ascii="仿宋_GB2312" w:hAnsi="Calibri" w:eastAsia="仿宋_GB2312" w:cs="Times New Roman"/>
          <w:snapToGrid w:val="0"/>
          <w:color w:val="auto"/>
          <w:sz w:val="32"/>
          <w:szCs w:val="32"/>
        </w:rPr>
        <w:t>项目资金绩效管理，落实项目绩效目标。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eastAsia" w:ascii="Times New Roman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Calibri" w:eastAsia="仿宋_GB2312" w:cs="Times New Roman"/>
          <w:color w:val="000000"/>
          <w:sz w:val="32"/>
          <w:szCs w:val="32"/>
          <w:lang w:eastAsia="zh-CN"/>
        </w:rPr>
        <w:t>通过项目自评自测，加强对项目资金绩效管理，切实强化目标管理，全面落实年初项目绩效目标。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无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专项支出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绩效目标自评表</w:t>
      </w: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9F99B"/>
    <w:multiLevelType w:val="singleLevel"/>
    <w:tmpl w:val="5E69F99B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ZmYyOTQ0YzgzZTQ0ZmE5YzYyMTY2NTUwNWIzYTMifQ=="/>
  </w:docVars>
  <w:rsids>
    <w:rsidRoot w:val="54370FC9"/>
    <w:rsid w:val="1DD65E60"/>
    <w:rsid w:val="5437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2024-03-21T07:24:00Z</dcterms:created>
  <dc:creator>Administrator</dc:creator>
  <cp:lastModifiedBy>Administrator</cp:lastModifiedBy>
  <dcterms:modified xsi:type="dcterms:W3CDTF">2024-03-29T01:18:43Z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21C81B78666C4C1988E660424A39AB40_12</vt:lpwstr>
  </property>
</Properties>
</file>