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cs="宋体"/>
          <w:b/>
          <w:bCs/>
          <w:sz w:val="44"/>
          <w:szCs w:val="44"/>
          <w:lang w:eastAsia="zh-CN"/>
        </w:rPr>
        <w:t>市</w:t>
      </w:r>
      <w:r>
        <w:rPr>
          <w:rFonts w:hint="eastAsia" w:ascii="宋体" w:hAnsi="宋体" w:eastAsia="宋体" w:cs="宋体"/>
          <w:b/>
          <w:bCs/>
          <w:sz w:val="44"/>
          <w:szCs w:val="44"/>
        </w:rPr>
        <w:t>级</w:t>
      </w:r>
      <w:r>
        <w:rPr>
          <w:rFonts w:hint="eastAsia" w:ascii="宋体" w:hAnsi="宋体" w:eastAsia="宋体" w:cs="宋体"/>
          <w:b/>
          <w:bCs/>
          <w:sz w:val="44"/>
          <w:szCs w:val="44"/>
          <w:lang w:eastAsia="zh-CN"/>
        </w:rPr>
        <w:t>预算单位政府采购支出</w:t>
      </w:r>
      <w:r>
        <w:rPr>
          <w:rFonts w:hint="eastAsia" w:ascii="宋体" w:hAnsi="宋体" w:eastAsia="宋体" w:cs="宋体"/>
          <w:b/>
          <w:bCs/>
          <w:sz w:val="44"/>
          <w:szCs w:val="44"/>
        </w:rPr>
        <w:t>查询路径</w:t>
      </w:r>
    </w:p>
    <w:p>
      <w:pPr>
        <w:jc w:val="center"/>
        <w:rPr>
          <w:rFonts w:hint="eastAsia" w:ascii="宋体" w:hAnsi="宋体" w:eastAsia="宋体" w:cs="宋体"/>
          <w:b/>
          <w:bCs/>
          <w:sz w:val="44"/>
          <w:szCs w:val="44"/>
        </w:rPr>
      </w:pPr>
      <w:r>
        <w:rPr>
          <w:rFonts w:hint="eastAsia" w:ascii="宋体" w:hAnsi="宋体" w:eastAsia="宋体" w:cs="宋体"/>
          <w:b/>
          <w:bCs/>
          <w:sz w:val="44"/>
          <w:szCs w:val="44"/>
        </w:rPr>
        <w:t>及咨询方式</w:t>
      </w:r>
    </w:p>
    <w:p>
      <w:pPr>
        <w:jc w:val="center"/>
        <w:rPr>
          <w:rFonts w:hint="eastAsia" w:ascii="宋体" w:hAnsi="宋体" w:eastAsia="宋体" w:cs="宋体"/>
          <w:b/>
          <w:bCs/>
          <w:sz w:val="36"/>
          <w:szCs w:val="36"/>
        </w:rPr>
      </w:pPr>
    </w:p>
    <w:p>
      <w:pPr>
        <w:spacing w:line="360" w:lineRule="auto"/>
        <w:ind w:firstLine="643" w:firstLineChars="200"/>
        <w:jc w:val="left"/>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一、</w:t>
      </w:r>
      <w:r>
        <w:rPr>
          <w:rFonts w:hint="eastAsia" w:ascii="仿宋_GB2312" w:hAnsi="仿宋" w:eastAsia="仿宋_GB2312"/>
          <w:b/>
          <w:bCs/>
          <w:sz w:val="32"/>
          <w:szCs w:val="32"/>
        </w:rPr>
        <w:t>政府采购落实促进中小企业发展政策的情况</w:t>
      </w:r>
    </w:p>
    <w:p>
      <w:pPr>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依据财政部、工业和信息化部《关于印发〈政府采购促进中小企业发展暂行办法〉的通知》（财库〔20</w:t>
      </w:r>
      <w:r>
        <w:rPr>
          <w:rFonts w:hint="eastAsia" w:ascii="仿宋_GB2312" w:hAnsi="仿宋" w:eastAsia="仿宋_GB2312"/>
          <w:sz w:val="32"/>
          <w:szCs w:val="32"/>
          <w:lang w:val="en-US" w:eastAsia="zh-CN"/>
        </w:rPr>
        <w:t>20</w:t>
      </w:r>
      <w:r>
        <w:rPr>
          <w:rFonts w:hint="eastAsia" w:ascii="仿宋_GB2312" w:hAnsi="仿宋" w:eastAsia="仿宋_GB2312"/>
          <w:sz w:val="32"/>
          <w:szCs w:val="32"/>
        </w:rPr>
        <w:t>〕</w:t>
      </w:r>
      <w:r>
        <w:rPr>
          <w:rFonts w:hint="eastAsia" w:ascii="仿宋_GB2312" w:hAnsi="仿宋" w:eastAsia="仿宋_GB2312"/>
          <w:sz w:val="32"/>
          <w:szCs w:val="32"/>
          <w:lang w:val="en-US" w:eastAsia="zh-CN"/>
        </w:rPr>
        <w:t>46</w:t>
      </w:r>
      <w:r>
        <w:rPr>
          <w:rFonts w:hint="eastAsia" w:ascii="仿宋_GB2312" w:hAnsi="仿宋" w:eastAsia="仿宋_GB2312"/>
          <w:sz w:val="32"/>
          <w:szCs w:val="32"/>
        </w:rPr>
        <w:t>号）、《安徽省财政厅、安徽省经济和信息化</w:t>
      </w:r>
      <w:r>
        <w:rPr>
          <w:rFonts w:hint="eastAsia" w:ascii="仿宋_GB2312" w:hAnsi="仿宋" w:eastAsia="仿宋_GB2312"/>
          <w:sz w:val="32"/>
          <w:szCs w:val="32"/>
          <w:lang w:eastAsia="zh-CN"/>
        </w:rPr>
        <w:t>厅</w:t>
      </w:r>
      <w:r>
        <w:rPr>
          <w:rFonts w:hint="eastAsia" w:ascii="仿宋_GB2312" w:hAnsi="仿宋" w:eastAsia="仿宋_GB2312"/>
          <w:sz w:val="32"/>
          <w:szCs w:val="32"/>
        </w:rPr>
        <w:t>转发〈财政部工业和信息化部关于印发政府采购促进中小企业发展暂行办法〉的通知》（</w:t>
      </w:r>
      <w:r>
        <w:rPr>
          <w:rFonts w:hint="eastAsia" w:ascii="仿宋_GB2312" w:hAnsi="仿宋" w:eastAsia="仿宋_GB2312"/>
          <w:sz w:val="32"/>
          <w:szCs w:val="32"/>
          <w:lang w:eastAsia="zh-CN"/>
        </w:rPr>
        <w:t>皖</w:t>
      </w:r>
      <w:r>
        <w:rPr>
          <w:rFonts w:hint="eastAsia" w:ascii="仿宋_GB2312" w:hAnsi="仿宋" w:eastAsia="仿宋_GB2312"/>
          <w:sz w:val="32"/>
          <w:szCs w:val="32"/>
        </w:rPr>
        <w:t>财购〔20</w:t>
      </w:r>
      <w:r>
        <w:rPr>
          <w:rFonts w:hint="eastAsia" w:ascii="仿宋_GB2312" w:hAnsi="仿宋" w:eastAsia="仿宋_GB2312"/>
          <w:sz w:val="32"/>
          <w:szCs w:val="32"/>
          <w:lang w:val="en-US" w:eastAsia="zh-CN"/>
        </w:rPr>
        <w:t>20</w:t>
      </w:r>
      <w:r>
        <w:rPr>
          <w:rFonts w:hint="eastAsia" w:ascii="仿宋_GB2312" w:hAnsi="仿宋" w:eastAsia="仿宋_GB2312"/>
          <w:sz w:val="32"/>
          <w:szCs w:val="32"/>
        </w:rPr>
        <w:t>〕</w:t>
      </w:r>
      <w:r>
        <w:rPr>
          <w:rFonts w:hint="eastAsia" w:ascii="仿宋_GB2312" w:hAnsi="仿宋" w:eastAsia="仿宋_GB2312"/>
          <w:sz w:val="32"/>
          <w:szCs w:val="32"/>
          <w:lang w:val="en-US" w:eastAsia="zh-CN"/>
        </w:rPr>
        <w:t>1668</w:t>
      </w:r>
      <w:r>
        <w:rPr>
          <w:rFonts w:hint="eastAsia" w:ascii="仿宋_GB2312" w:hAnsi="仿宋" w:eastAsia="仿宋_GB2312"/>
          <w:sz w:val="32"/>
          <w:szCs w:val="32"/>
        </w:rPr>
        <w:t>号）有关规定，政府采购</w:t>
      </w:r>
      <w:r>
        <w:rPr>
          <w:rFonts w:hint="eastAsia" w:ascii="仿宋_GB2312" w:hAnsi="仿宋" w:eastAsia="仿宋_GB2312"/>
          <w:sz w:val="32"/>
          <w:szCs w:val="32"/>
          <w:lang w:eastAsia="zh-CN"/>
        </w:rPr>
        <w:t>支持</w:t>
      </w:r>
      <w:r>
        <w:rPr>
          <w:rFonts w:hint="eastAsia" w:ascii="仿宋_GB2312" w:hAnsi="仿宋" w:eastAsia="仿宋_GB2312"/>
          <w:sz w:val="32"/>
          <w:szCs w:val="32"/>
        </w:rPr>
        <w:t>中小企业</w:t>
      </w:r>
      <w:r>
        <w:rPr>
          <w:rFonts w:hint="eastAsia" w:ascii="仿宋_GB2312" w:hAnsi="仿宋" w:eastAsia="仿宋_GB2312"/>
          <w:sz w:val="32"/>
          <w:szCs w:val="32"/>
          <w:lang w:eastAsia="zh-CN"/>
        </w:rPr>
        <w:t>发展</w:t>
      </w:r>
      <w:r>
        <w:rPr>
          <w:rFonts w:hint="eastAsia" w:ascii="仿宋_GB2312" w:hAnsi="仿宋" w:eastAsia="仿宋_GB2312"/>
          <w:sz w:val="32"/>
          <w:szCs w:val="32"/>
        </w:rPr>
        <w:t>政策落实主要体现在以下三方面：</w:t>
      </w:r>
    </w:p>
    <w:p>
      <w:pPr>
        <w:pStyle w:val="7"/>
        <w:numPr>
          <w:ilvl w:val="0"/>
          <w:numId w:val="0"/>
        </w:numPr>
        <w:spacing w:line="360" w:lineRule="auto"/>
        <w:ind w:firstLine="640" w:firstLineChars="200"/>
        <w:jc w:val="left"/>
        <w:rPr>
          <w:rFonts w:hint="eastAsia" w:ascii="仿宋_GB2312" w:hAnsi="仿宋" w:eastAsia="仿宋_GB2312" w:cs="Times New Roman"/>
          <w:color w:val="auto"/>
          <w:sz w:val="32"/>
          <w:szCs w:val="32"/>
        </w:rPr>
      </w:pP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采</w:t>
      </w:r>
      <w:r>
        <w:rPr>
          <w:rFonts w:hint="eastAsia" w:ascii="仿宋_GB2312" w:hAnsi="仿宋" w:eastAsia="仿宋_GB2312" w:cs="Times New Roman"/>
          <w:color w:val="auto"/>
          <w:sz w:val="32"/>
          <w:szCs w:val="32"/>
        </w:rPr>
        <w:t>购限额标准以上，200万元以下的货物和服务采购项目、400万元以下的工程采购项目，适宜由中小企业提供的，采购人应当</w:t>
      </w:r>
      <w:r>
        <w:rPr>
          <w:rFonts w:hint="eastAsia" w:ascii="仿宋_GB2312" w:hAnsi="仿宋" w:eastAsia="仿宋_GB2312" w:cs="Times New Roman"/>
          <w:color w:val="auto"/>
          <w:sz w:val="32"/>
          <w:szCs w:val="32"/>
          <w:lang w:eastAsia="zh-CN"/>
        </w:rPr>
        <w:t>全额</w:t>
      </w:r>
      <w:r>
        <w:rPr>
          <w:rFonts w:hint="eastAsia" w:ascii="仿宋_GB2312" w:hAnsi="仿宋" w:eastAsia="仿宋_GB2312" w:cs="Times New Roman"/>
          <w:color w:val="auto"/>
          <w:sz w:val="32"/>
          <w:szCs w:val="32"/>
        </w:rPr>
        <w:t>面向中小企业采购</w:t>
      </w:r>
      <w:r>
        <w:rPr>
          <w:rFonts w:hint="eastAsia" w:ascii="仿宋_GB2312" w:hAnsi="仿宋" w:eastAsia="仿宋_GB2312" w:cs="Times New Roman"/>
          <w:color w:val="auto"/>
          <w:sz w:val="32"/>
          <w:szCs w:val="32"/>
          <w:lang w:eastAsia="zh-CN"/>
        </w:rPr>
        <w:t>（即</w:t>
      </w:r>
      <w:r>
        <w:rPr>
          <w:rFonts w:hint="eastAsia" w:ascii="仿宋_GB2312" w:hAnsi="仿宋" w:eastAsia="仿宋_GB2312" w:cs="Times New Roman"/>
          <w:color w:val="auto"/>
          <w:sz w:val="32"/>
          <w:szCs w:val="32"/>
        </w:rPr>
        <w:t>货物</w:t>
      </w:r>
      <w:r>
        <w:rPr>
          <w:rFonts w:hint="eastAsia" w:ascii="仿宋_GB2312" w:hAnsi="仿宋" w:eastAsia="仿宋_GB2312" w:cs="Times New Roman"/>
          <w:color w:val="auto"/>
          <w:sz w:val="32"/>
          <w:szCs w:val="32"/>
          <w:lang w:eastAsia="zh-CN"/>
        </w:rPr>
        <w:t>由中小企业制造、服务由中小企业承接、工程由中小企业承建）；</w:t>
      </w:r>
      <w:r>
        <w:rPr>
          <w:rFonts w:hint="eastAsia" w:ascii="仿宋_GB2312" w:hAnsi="仿宋" w:eastAsia="仿宋_GB2312" w:cs="Times New Roman"/>
          <w:color w:val="auto"/>
          <w:sz w:val="32"/>
          <w:szCs w:val="32"/>
        </w:rPr>
        <w:t>超过200万元的货物和服务采购项目、超过400万元的工程采购项目中适宜由中小企业提供的，预留该部分采购项目预算总额的</w:t>
      </w:r>
      <w:r>
        <w:rPr>
          <w:rFonts w:hint="eastAsia" w:ascii="仿宋_GB2312" w:hAnsi="仿宋" w:eastAsia="仿宋_GB2312" w:cs="Times New Roman"/>
          <w:color w:val="auto"/>
          <w:sz w:val="32"/>
          <w:szCs w:val="32"/>
          <w:lang w:val="en-US" w:eastAsia="zh-CN"/>
        </w:rPr>
        <w:t>40</w:t>
      </w:r>
      <w:r>
        <w:rPr>
          <w:rFonts w:hint="eastAsia" w:ascii="仿宋_GB2312" w:hAnsi="仿宋" w:eastAsia="仿宋_GB2312" w:cs="Times New Roman"/>
          <w:color w:val="auto"/>
          <w:sz w:val="32"/>
          <w:szCs w:val="32"/>
        </w:rPr>
        <w:t>%以上专门面向中小企业采购</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rPr>
        <w:t>其中预留给小微企业的比例不低于</w:t>
      </w:r>
      <w:r>
        <w:rPr>
          <w:rFonts w:hint="eastAsia" w:ascii="仿宋_GB2312" w:hAnsi="仿宋" w:eastAsia="仿宋_GB2312" w:cs="Times New Roman"/>
          <w:color w:val="auto"/>
          <w:sz w:val="32"/>
          <w:szCs w:val="32"/>
          <w:lang w:val="en-US" w:eastAsia="zh-CN"/>
        </w:rPr>
        <w:t>70</w:t>
      </w:r>
      <w:r>
        <w:rPr>
          <w:rFonts w:hint="eastAsia" w:ascii="仿宋_GB2312" w:hAnsi="仿宋" w:eastAsia="仿宋_GB2312" w:cs="Times New Roman"/>
          <w:color w:val="auto"/>
          <w:sz w:val="32"/>
          <w:szCs w:val="32"/>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对于经主管预算单位统筹后未预留份额专门面向中小企业采购的货物、服务采购项目，以及预留份额的货物、服务项目中的非预留部分采购包，采购人、采购代理机构应当对符合规定的小微企业报价给予10%-20%的价格扣除优惠，用扣除后的价格参加评审，</w:t>
      </w:r>
    </w:p>
    <w:p>
      <w:p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color w:val="auto"/>
          <w:sz w:val="32"/>
          <w:szCs w:val="32"/>
          <w:lang w:val="en-US" w:eastAsia="zh-CN"/>
        </w:rPr>
        <w:t>3.参与投标的供应商为中小企业的，应当在投标文件中提供有效的《中小企业声明函》，并对其真实性负责。项目中标（成交）结果公告发布时，中标（成交）供应商为中小微企业的，同时公告其投标文件提供的《中小企业</w:t>
      </w:r>
      <w:r>
        <w:rPr>
          <w:rFonts w:hint="eastAsia" w:ascii="仿宋_GB2312" w:hAnsi="仿宋" w:eastAsia="仿宋_GB2312"/>
          <w:sz w:val="32"/>
          <w:szCs w:val="32"/>
          <w:lang w:val="en-US" w:eastAsia="zh-CN"/>
        </w:rPr>
        <w:t>声明函》。</w:t>
      </w:r>
    </w:p>
    <w:p>
      <w:pPr>
        <w:pStyle w:val="7"/>
        <w:numPr>
          <w:ilvl w:val="0"/>
          <w:numId w:val="1"/>
        </w:numPr>
        <w:spacing w:line="360" w:lineRule="auto"/>
        <w:ind w:left="640" w:leftChars="305" w:firstLine="0" w:firstLineChars="0"/>
        <w:jc w:val="both"/>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相关指标</w:t>
      </w:r>
      <w:r>
        <w:rPr>
          <w:rFonts w:hint="eastAsia" w:ascii="仿宋_GB2312" w:hAnsi="仿宋" w:eastAsia="仿宋_GB2312"/>
          <w:b/>
          <w:bCs/>
          <w:sz w:val="32"/>
          <w:szCs w:val="32"/>
        </w:rPr>
        <w:t>查询</w:t>
      </w:r>
      <w:r>
        <w:rPr>
          <w:rFonts w:hint="eastAsia" w:ascii="仿宋_GB2312" w:hAnsi="仿宋" w:eastAsia="仿宋_GB2312"/>
          <w:b/>
          <w:bCs/>
          <w:sz w:val="32"/>
          <w:szCs w:val="32"/>
          <w:lang w:eastAsia="zh-CN"/>
        </w:rPr>
        <w:t>路</w:t>
      </w:r>
      <w:r>
        <w:rPr>
          <w:rFonts w:hint="eastAsia" w:ascii="仿宋_GB2312" w:hAnsi="仿宋" w:eastAsia="仿宋_GB2312"/>
          <w:b/>
          <w:bCs/>
          <w:sz w:val="32"/>
          <w:szCs w:val="32"/>
        </w:rPr>
        <w:t>径</w:t>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第一步：查询某项目中标供应商是否为中小企业</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 w:eastAsia="仿宋_GB2312"/>
          <w:color w:val="auto"/>
          <w:sz w:val="32"/>
          <w:szCs w:val="32"/>
        </w:rPr>
      </w:pPr>
      <w:r>
        <w:rPr>
          <w:rFonts w:hint="eastAsia" w:ascii="仿宋_GB2312" w:hAnsi="仿宋" w:eastAsia="仿宋_GB2312"/>
          <w:sz w:val="32"/>
          <w:szCs w:val="32"/>
          <w:lang w:val="en-US" w:eastAsia="zh-CN"/>
        </w:rPr>
        <w:t>1.</w:t>
      </w:r>
      <w:r>
        <w:rPr>
          <w:rFonts w:hint="eastAsia" w:ascii="仿宋_GB2312" w:hAnsi="仿宋" w:eastAsia="仿宋_GB2312"/>
          <w:sz w:val="32"/>
          <w:szCs w:val="32"/>
        </w:rPr>
        <w:t>查询</w:t>
      </w:r>
      <w:r>
        <w:rPr>
          <w:rFonts w:hint="eastAsia" w:ascii="仿宋_GB2312" w:hAnsi="仿宋" w:eastAsia="仿宋_GB2312"/>
          <w:sz w:val="32"/>
          <w:szCs w:val="32"/>
          <w:lang w:eastAsia="zh-CN"/>
        </w:rPr>
        <w:t>预算</w:t>
      </w:r>
      <w:r>
        <w:rPr>
          <w:rFonts w:hint="eastAsia" w:ascii="仿宋_GB2312" w:hAnsi="仿宋" w:eastAsia="仿宋_GB2312"/>
          <w:sz w:val="32"/>
          <w:szCs w:val="32"/>
        </w:rPr>
        <w:t>单位存档的中标（成交）供应商（即合同乙方）的</w:t>
      </w:r>
      <w:r>
        <w:rPr>
          <w:rFonts w:hint="eastAsia" w:ascii="仿宋_GB2312" w:hAnsi="仿宋" w:eastAsia="仿宋_GB2312"/>
          <w:color w:val="auto"/>
          <w:sz w:val="32"/>
          <w:szCs w:val="32"/>
        </w:rPr>
        <w:t>投标文件</w:t>
      </w:r>
      <w:r>
        <w:rPr>
          <w:rFonts w:hint="eastAsia" w:ascii="仿宋_GB2312" w:hAnsi="仿宋" w:eastAsia="仿宋_GB2312"/>
          <w:color w:val="auto"/>
          <w:sz w:val="32"/>
          <w:szCs w:val="32"/>
          <w:lang w:eastAsia="zh-CN"/>
        </w:rPr>
        <w:t>（线下查询）</w:t>
      </w:r>
      <w:r>
        <w:rPr>
          <w:rFonts w:hint="eastAsia" w:ascii="仿宋_GB2312" w:hAnsi="仿宋" w:eastAsia="仿宋_GB2312"/>
          <w:color w:val="auto"/>
          <w:sz w:val="32"/>
          <w:szCs w:val="32"/>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 w:eastAsia="仿宋_GB2312" w:cs="Times New Roman"/>
          <w:color w:val="auto"/>
          <w:sz w:val="32"/>
          <w:szCs w:val="32"/>
          <w:lang w:val="en-US" w:eastAsia="zh-CN"/>
        </w:rPr>
      </w:pPr>
      <w:r>
        <w:rPr>
          <w:rFonts w:hint="eastAsia" w:ascii="仿宋_GB2312" w:hAnsi="仿宋" w:eastAsia="仿宋_GB2312"/>
          <w:color w:val="auto"/>
          <w:sz w:val="32"/>
          <w:szCs w:val="32"/>
          <w:lang w:val="en-US" w:eastAsia="zh-CN"/>
        </w:rPr>
        <w:t>2.预算单位登陆</w:t>
      </w:r>
      <w:r>
        <w:rPr>
          <w:rFonts w:hint="eastAsia" w:ascii="仿宋_GB2312" w:hAnsi="仿宋" w:eastAsia="仿宋_GB2312" w:cs="Times New Roman"/>
          <w:color w:val="auto"/>
          <w:sz w:val="32"/>
          <w:szCs w:val="32"/>
          <w:lang w:eastAsia="zh-CN"/>
        </w:rPr>
        <w:t>安徽省政府采购网（网址</w:t>
      </w:r>
      <w:r>
        <w:rPr>
          <w:rFonts w:hint="eastAsia" w:ascii="仿宋_GB2312" w:eastAsia="仿宋_GB2312" w:cs="Times New Roman"/>
          <w:color w:val="auto"/>
          <w:sz w:val="32"/>
          <w:szCs w:val="32"/>
          <w:u w:val="none"/>
          <w:shd w:val="clear" w:color="auto" w:fill="auto"/>
          <w:lang w:eastAsia="zh-CN"/>
        </w:rPr>
        <w:t>www.ccgp-anhui.gov.cn）</w:t>
      </w:r>
      <w:r>
        <w:rPr>
          <w:rFonts w:hint="eastAsia" w:ascii="仿宋_GB2312" w:hAnsi="仿宋" w:eastAsia="仿宋_GB2312"/>
          <w:color w:val="auto"/>
          <w:sz w:val="32"/>
          <w:szCs w:val="32"/>
        </w:rPr>
        <w:t>查询</w:t>
      </w:r>
      <w:r>
        <w:rPr>
          <w:rFonts w:hint="eastAsia" w:ascii="仿宋_GB2312" w:hAnsi="仿宋" w:eastAsia="仿宋_GB2312"/>
          <w:color w:val="auto"/>
          <w:sz w:val="32"/>
          <w:szCs w:val="32"/>
          <w:lang w:val="en-US" w:eastAsia="zh-CN"/>
        </w:rPr>
        <w:t>该项目</w:t>
      </w:r>
      <w:r>
        <w:rPr>
          <w:rFonts w:hint="eastAsia" w:ascii="仿宋_GB2312" w:hAnsi="仿宋" w:eastAsia="仿宋_GB2312"/>
          <w:color w:val="auto"/>
          <w:sz w:val="32"/>
          <w:szCs w:val="32"/>
        </w:rPr>
        <w:t>中标（成交）</w:t>
      </w:r>
      <w:r>
        <w:rPr>
          <w:rFonts w:hint="eastAsia" w:ascii="仿宋_GB2312" w:hAnsi="仿宋" w:eastAsia="仿宋_GB2312"/>
          <w:color w:val="auto"/>
          <w:sz w:val="32"/>
          <w:szCs w:val="32"/>
          <w:lang w:eastAsia="zh-CN"/>
        </w:rPr>
        <w:t>结果</w:t>
      </w:r>
      <w:r>
        <w:rPr>
          <w:rFonts w:hint="eastAsia" w:ascii="仿宋_GB2312" w:hAnsi="仿宋" w:eastAsia="仿宋_GB2312"/>
          <w:color w:val="auto"/>
          <w:sz w:val="32"/>
          <w:szCs w:val="32"/>
        </w:rPr>
        <w:t>公告</w:t>
      </w:r>
      <w:r>
        <w:rPr>
          <w:rFonts w:hint="eastAsia" w:ascii="仿宋_GB2312" w:hAnsi="仿宋" w:eastAsia="仿宋_GB2312"/>
          <w:color w:val="auto"/>
          <w:sz w:val="32"/>
          <w:szCs w:val="32"/>
          <w:lang w:eastAsia="zh-CN"/>
        </w:rPr>
        <w:t>中的《</w:t>
      </w:r>
      <w:r>
        <w:rPr>
          <w:rFonts w:hint="eastAsia" w:ascii="仿宋_GB2312" w:hAnsi="仿宋" w:eastAsia="仿宋_GB2312"/>
          <w:color w:val="auto"/>
          <w:sz w:val="32"/>
          <w:szCs w:val="32"/>
        </w:rPr>
        <w:t>中小企业声明函》</w:t>
      </w:r>
      <w:r>
        <w:rPr>
          <w:rFonts w:hint="eastAsia" w:ascii="仿宋_GB2312" w:eastAsia="仿宋_GB2312" w:cs="Times New Roman"/>
          <w:color w:val="auto"/>
          <w:sz w:val="32"/>
          <w:szCs w:val="32"/>
          <w:u w:val="none"/>
          <w:shd w:val="clear" w:color="auto" w:fill="auto"/>
          <w:lang w:eastAsia="zh-CN"/>
        </w:rPr>
        <w:t>，</w:t>
      </w:r>
      <w:r>
        <w:rPr>
          <w:rFonts w:hint="eastAsia" w:ascii="仿宋_GB2312" w:hAnsi="仿宋" w:eastAsia="仿宋_GB2312" w:cs="Times New Roman"/>
          <w:color w:val="auto"/>
          <w:sz w:val="32"/>
          <w:szCs w:val="32"/>
          <w:lang w:eastAsia="zh-CN"/>
        </w:rPr>
        <w:t>操作步骤：选择采购公告</w:t>
      </w:r>
      <w:r>
        <w:rPr>
          <w:rFonts w:hint="eastAsia" w:ascii="仿宋_GB2312" w:hAnsi="仿宋" w:eastAsia="仿宋_GB2312" w:cs="Times New Roman"/>
          <w:color w:val="auto"/>
          <w:sz w:val="32"/>
          <w:szCs w:val="32"/>
          <w:lang w:val="en-US" w:eastAsia="zh-CN"/>
        </w:rPr>
        <w:t>-结果公告-按项目名称查找-打开公告，在附件信息中查询中小企业声明函（线上查询）。</w:t>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b/>
          <w:bCs/>
          <w:color w:val="auto"/>
          <w:sz w:val="32"/>
          <w:szCs w:val="32"/>
          <w:lang w:val="en-US" w:eastAsia="zh-CN"/>
        </w:rPr>
      </w:pPr>
      <w:r>
        <w:rPr>
          <w:rFonts w:hint="eastAsia" w:ascii="仿宋_GB2312" w:hAnsi="仿宋" w:eastAsia="仿宋_GB2312"/>
          <w:b/>
          <w:bCs/>
          <w:color w:val="auto"/>
          <w:sz w:val="32"/>
          <w:szCs w:val="32"/>
          <w:lang w:val="en-US" w:eastAsia="zh-CN"/>
        </w:rPr>
        <w:t>第二步：查询2022年申报的政府采购项目</w:t>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sz w:val="32"/>
          <w:szCs w:val="32"/>
        </w:rPr>
      </w:pPr>
      <w:r>
        <w:rPr>
          <w:rFonts w:hint="eastAsia" w:ascii="仿宋_GB2312" w:hAnsi="仿宋" w:eastAsia="仿宋_GB2312"/>
          <w:color w:val="auto"/>
          <w:sz w:val="32"/>
          <w:szCs w:val="32"/>
          <w:lang w:val="en-US" w:eastAsia="zh-CN"/>
        </w:rPr>
        <w:t>预算单位</w:t>
      </w:r>
      <w:r>
        <w:rPr>
          <w:rFonts w:hint="eastAsia" w:ascii="仿宋_GB2312" w:hAnsi="仿宋" w:eastAsia="仿宋_GB2312"/>
          <w:color w:val="auto"/>
          <w:sz w:val="32"/>
          <w:szCs w:val="32"/>
        </w:rPr>
        <w:t>登录</w:t>
      </w:r>
      <w:r>
        <w:rPr>
          <w:rFonts w:hint="eastAsia" w:ascii="仿宋_GB2312" w:hAnsi="仿宋" w:eastAsia="仿宋_GB2312"/>
          <w:color w:val="auto"/>
          <w:sz w:val="32"/>
          <w:szCs w:val="32"/>
          <w:lang w:eastAsia="zh-CN"/>
        </w:rPr>
        <w:t>“</w:t>
      </w:r>
      <w:r>
        <w:rPr>
          <w:rFonts w:hint="eastAsia" w:ascii="仿宋_GB2312" w:hAnsi="仿宋" w:eastAsia="仿宋_GB2312" w:cs="Times New Roman"/>
          <w:color w:val="auto"/>
          <w:sz w:val="32"/>
          <w:szCs w:val="32"/>
          <w:lang w:eastAsia="zh-CN"/>
        </w:rPr>
        <w:t>安徽省政府采购网</w:t>
      </w:r>
      <w:r>
        <w:rPr>
          <w:rFonts w:hint="eastAsia" w:ascii="仿宋_GB2312" w:hAnsi="仿宋" w:eastAsia="仿宋_GB2312"/>
          <w:color w:val="auto"/>
          <w:sz w:val="32"/>
          <w:szCs w:val="32"/>
          <w:lang w:val="en-US" w:eastAsia="zh-CN"/>
        </w:rPr>
        <w:t>(</w:t>
      </w:r>
      <w:r>
        <w:rPr>
          <w:rFonts w:hint="eastAsia" w:ascii="仿宋_GB2312" w:hAnsi="仿宋" w:eastAsia="仿宋_GB2312"/>
          <w:color w:val="auto"/>
          <w:sz w:val="32"/>
          <w:szCs w:val="32"/>
          <w:lang w:eastAsia="zh-CN"/>
        </w:rPr>
        <w:t>网</w:t>
      </w:r>
      <w:r>
        <w:rPr>
          <w:rFonts w:hint="eastAsia" w:ascii="仿宋_GB2312" w:hAnsi="仿宋" w:eastAsia="仿宋_GB2312"/>
          <w:color w:val="auto"/>
          <w:sz w:val="32"/>
          <w:szCs w:val="32"/>
        </w:rPr>
        <w:t>址：http://www.ccgp-anhui.gov.cn</w:t>
      </w:r>
      <w:r>
        <w:rPr>
          <w:rFonts w:hint="eastAsia" w:ascii="仿宋_GB2312" w:hAnsi="仿宋" w:eastAsia="仿宋_GB2312"/>
          <w:color w:val="auto"/>
          <w:sz w:val="32"/>
          <w:szCs w:val="32"/>
          <w:lang w:val="en-US" w:eastAsia="zh-CN"/>
        </w:rPr>
        <w:t>)</w:t>
      </w:r>
      <w:r>
        <w:rPr>
          <w:rFonts w:hint="eastAsia" w:ascii="仿宋_GB2312" w:hAnsi="仿宋" w:eastAsia="仿宋_GB2312"/>
          <w:color w:val="auto"/>
          <w:sz w:val="32"/>
          <w:szCs w:val="32"/>
          <w:lang w:eastAsia="zh-CN"/>
        </w:rPr>
        <w:t>，点击“徽采云采购监管系统”登录单位账号后查询</w:t>
      </w:r>
      <w:r>
        <w:rPr>
          <w:rFonts w:hint="eastAsia" w:ascii="仿宋_GB2312" w:hAnsi="仿宋" w:eastAsia="仿宋_GB2312"/>
          <w:color w:val="auto"/>
          <w:sz w:val="32"/>
          <w:szCs w:val="32"/>
          <w:lang w:val="en-US" w:eastAsia="zh-CN"/>
        </w:rPr>
        <w:t>2022年申报的政府采购项目情况</w:t>
      </w:r>
      <w:r>
        <w:rPr>
          <w:rFonts w:hint="eastAsia" w:ascii="仿宋_GB2312" w:hAnsi="仿宋" w:eastAsia="仿宋_GB2312"/>
          <w:color w:val="auto"/>
          <w:sz w:val="32"/>
          <w:szCs w:val="32"/>
        </w:rPr>
        <w:t>操作步骤：</w:t>
      </w:r>
      <w:r>
        <w:rPr>
          <w:rFonts w:hint="eastAsia" w:ascii="仿宋_GB2312" w:hAnsi="仿宋" w:eastAsia="仿宋_GB2312"/>
          <w:color w:val="auto"/>
          <w:sz w:val="32"/>
          <w:szCs w:val="32"/>
          <w:lang w:eastAsia="zh-CN"/>
        </w:rPr>
        <w:t>采购计划</w:t>
      </w:r>
      <w:r>
        <w:rPr>
          <w:rFonts w:hint="eastAsia" w:ascii="仿宋_GB2312" w:hAnsi="仿宋" w:eastAsia="仿宋_GB2312"/>
          <w:color w:val="auto"/>
          <w:sz w:val="32"/>
          <w:szCs w:val="32"/>
          <w:lang w:val="en-US" w:eastAsia="zh-CN"/>
        </w:rPr>
        <w:t>--采购计划管理--采购计划查询,</w:t>
      </w:r>
      <w:r>
        <w:rPr>
          <w:rFonts w:hint="eastAsia" w:ascii="仿宋_GB2312" w:hAnsi="仿宋" w:eastAsia="仿宋_GB2312"/>
          <w:sz w:val="32"/>
          <w:szCs w:val="32"/>
        </w:rPr>
        <w:t>如下图所示：</w:t>
      </w:r>
    </w:p>
    <w:p>
      <w:pPr>
        <w:keepNext w:val="0"/>
        <w:keepLines w:val="0"/>
        <w:widowControl/>
        <w:suppressLineNumbers w:val="0"/>
        <w:jc w:val="left"/>
      </w:pPr>
    </w:p>
    <w:p>
      <w:pPr>
        <w:keepNext w:val="0"/>
        <w:keepLines w:val="0"/>
        <w:widowControl/>
        <w:suppressLineNumbers w:val="0"/>
        <w:jc w:val="left"/>
      </w:pPr>
    </w:p>
    <w:p>
      <w:pPr>
        <w:ind w:firstLine="420" w:firstLineChars="200"/>
        <w:rPr>
          <w:rFonts w:hint="eastAsia" w:ascii="仿宋_GB2312" w:hAnsi="Calibri" w:eastAsia="仿宋_GB2312" w:cs="Times New Roman"/>
          <w:b/>
          <w:bCs/>
          <w:color w:val="auto"/>
          <w:kern w:val="2"/>
          <w:sz w:val="32"/>
          <w:szCs w:val="32"/>
          <w:u w:val="none"/>
          <w:shd w:val="clear" w:color="auto" w:fill="auto"/>
          <w:lang w:val="en-US" w:eastAsia="zh-CN" w:bidi="ar-SA"/>
        </w:rPr>
      </w:pPr>
      <w:r>
        <w:drawing>
          <wp:inline distT="0" distB="0" distL="114300" distR="114300">
            <wp:extent cx="5272405" cy="1793240"/>
            <wp:effectExtent l="0" t="0" r="635" b="50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272405" cy="1793240"/>
                    </a:xfrm>
                    <a:prstGeom prst="rect">
                      <a:avLst/>
                    </a:prstGeom>
                    <a:noFill/>
                    <a:ln>
                      <a:noFill/>
                    </a:ln>
                  </pic:spPr>
                </pic:pic>
              </a:graphicData>
            </a:graphic>
          </wp:inline>
        </w:drawing>
      </w:r>
    </w:p>
    <w:p>
      <w:pPr>
        <w:ind w:firstLine="643" w:firstLineChars="200"/>
        <w:rPr>
          <w:rFonts w:hint="eastAsia" w:ascii="仿宋_GB2312" w:hAnsi="Calibri" w:eastAsia="仿宋_GB2312" w:cs="Times New Roman"/>
          <w:b/>
          <w:bCs/>
          <w:color w:val="auto"/>
          <w:kern w:val="2"/>
          <w:sz w:val="32"/>
          <w:szCs w:val="32"/>
          <w:u w:val="none"/>
          <w:shd w:val="clear" w:color="auto" w:fill="auto"/>
          <w:lang w:val="en-US" w:eastAsia="zh-CN" w:bidi="ar-SA"/>
        </w:rPr>
      </w:pPr>
    </w:p>
    <w:p>
      <w:pPr>
        <w:ind w:firstLine="643" w:firstLineChars="200"/>
        <w:rPr>
          <w:rFonts w:hint="eastAsia" w:ascii="仿宋_GB2312" w:hAnsi="Calibri" w:eastAsia="仿宋_GB2312" w:cs="Times New Roman"/>
          <w:b/>
          <w:bCs/>
          <w:color w:val="auto"/>
          <w:kern w:val="2"/>
          <w:sz w:val="32"/>
          <w:szCs w:val="32"/>
          <w:u w:val="none"/>
          <w:shd w:val="clear" w:color="auto" w:fill="auto"/>
          <w:lang w:val="en-US" w:eastAsia="zh-CN" w:bidi="ar-SA"/>
        </w:rPr>
      </w:pPr>
      <w:r>
        <w:rPr>
          <w:rFonts w:hint="eastAsia" w:ascii="仿宋_GB2312" w:hAnsi="Calibri" w:eastAsia="仿宋_GB2312" w:cs="Times New Roman"/>
          <w:b/>
          <w:bCs/>
          <w:color w:val="auto"/>
          <w:kern w:val="2"/>
          <w:sz w:val="32"/>
          <w:szCs w:val="32"/>
          <w:u w:val="none"/>
          <w:shd w:val="clear" w:color="auto" w:fill="auto"/>
          <w:lang w:val="en-US" w:eastAsia="zh-CN" w:bidi="ar-SA"/>
        </w:rPr>
        <w:t>第三步：查询2022年政府采购合同支付情况</w:t>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sz w:val="32"/>
          <w:szCs w:val="32"/>
        </w:rPr>
      </w:pPr>
      <w:r>
        <w:rPr>
          <w:rFonts w:hint="eastAsia" w:ascii="仿宋_GB2312" w:hAnsi="仿宋" w:eastAsia="仿宋_GB2312"/>
          <w:color w:val="auto"/>
          <w:sz w:val="32"/>
          <w:szCs w:val="32"/>
          <w:lang w:val="en-US" w:eastAsia="zh-CN"/>
        </w:rPr>
        <w:t>预算单位</w:t>
      </w:r>
      <w:r>
        <w:rPr>
          <w:rFonts w:hint="eastAsia" w:ascii="仿宋_GB2312" w:hAnsi="仿宋" w:eastAsia="仿宋_GB2312"/>
          <w:color w:val="auto"/>
          <w:sz w:val="32"/>
          <w:szCs w:val="32"/>
        </w:rPr>
        <w:t>登录</w:t>
      </w:r>
      <w:r>
        <w:rPr>
          <w:rFonts w:hint="eastAsia" w:ascii="仿宋_GB2312" w:hAnsi="仿宋" w:eastAsia="仿宋_GB2312"/>
          <w:color w:val="auto"/>
          <w:sz w:val="32"/>
          <w:szCs w:val="32"/>
          <w:lang w:eastAsia="zh-CN"/>
        </w:rPr>
        <w:t>“</w:t>
      </w:r>
      <w:r>
        <w:rPr>
          <w:rFonts w:hint="eastAsia" w:ascii="仿宋_GB2312" w:hAnsi="仿宋" w:eastAsia="仿宋_GB2312" w:cs="Times New Roman"/>
          <w:color w:val="auto"/>
          <w:sz w:val="32"/>
          <w:szCs w:val="32"/>
          <w:lang w:eastAsia="zh-CN"/>
        </w:rPr>
        <w:t>安徽省政府采购网</w:t>
      </w:r>
      <w:r>
        <w:rPr>
          <w:rFonts w:hint="eastAsia" w:ascii="仿宋_GB2312" w:hAnsi="仿宋" w:eastAsia="仿宋_GB2312"/>
          <w:color w:val="auto"/>
          <w:sz w:val="32"/>
          <w:szCs w:val="32"/>
          <w:lang w:val="en-US" w:eastAsia="zh-CN"/>
        </w:rPr>
        <w:t>(</w:t>
      </w:r>
      <w:r>
        <w:rPr>
          <w:rFonts w:hint="eastAsia" w:ascii="仿宋_GB2312" w:hAnsi="仿宋" w:eastAsia="仿宋_GB2312"/>
          <w:color w:val="auto"/>
          <w:sz w:val="32"/>
          <w:szCs w:val="32"/>
          <w:lang w:eastAsia="zh-CN"/>
        </w:rPr>
        <w:t>网</w:t>
      </w:r>
      <w:r>
        <w:rPr>
          <w:rFonts w:hint="eastAsia" w:ascii="仿宋_GB2312" w:hAnsi="仿宋" w:eastAsia="仿宋_GB2312"/>
          <w:color w:val="auto"/>
          <w:sz w:val="32"/>
          <w:szCs w:val="32"/>
        </w:rPr>
        <w:t>址：http://www.ccgp-anhui.gov.cn</w:t>
      </w:r>
      <w:r>
        <w:rPr>
          <w:rFonts w:hint="eastAsia" w:ascii="仿宋_GB2312" w:hAnsi="仿宋" w:eastAsia="仿宋_GB2312"/>
          <w:color w:val="auto"/>
          <w:sz w:val="32"/>
          <w:szCs w:val="32"/>
          <w:lang w:val="en-US" w:eastAsia="zh-CN"/>
        </w:rPr>
        <w:t>)</w:t>
      </w:r>
      <w:r>
        <w:rPr>
          <w:rFonts w:hint="eastAsia" w:ascii="仿宋_GB2312" w:hAnsi="仿宋" w:eastAsia="仿宋_GB2312"/>
          <w:color w:val="auto"/>
          <w:sz w:val="32"/>
          <w:szCs w:val="32"/>
          <w:lang w:eastAsia="zh-CN"/>
        </w:rPr>
        <w:t>，点击“徽采云采购监管系统”登录单位账号后查询</w:t>
      </w:r>
      <w:r>
        <w:rPr>
          <w:rFonts w:hint="eastAsia" w:ascii="仿宋_GB2312" w:hAnsi="仿宋" w:eastAsia="仿宋_GB2312"/>
          <w:color w:val="auto"/>
          <w:sz w:val="32"/>
          <w:szCs w:val="32"/>
          <w:lang w:val="en-US" w:eastAsia="zh-CN"/>
        </w:rPr>
        <w:t>2022年申报的政府采购项目情况</w:t>
      </w:r>
      <w:r>
        <w:rPr>
          <w:rFonts w:hint="eastAsia" w:ascii="仿宋_GB2312" w:hAnsi="仿宋" w:eastAsia="仿宋_GB2312"/>
          <w:color w:val="auto"/>
          <w:sz w:val="32"/>
          <w:szCs w:val="32"/>
        </w:rPr>
        <w:t>操作步骤：</w:t>
      </w:r>
      <w:r>
        <w:rPr>
          <w:rFonts w:hint="eastAsia" w:ascii="仿宋_GB2312" w:hAnsi="仿宋" w:eastAsia="仿宋_GB2312"/>
          <w:color w:val="auto"/>
          <w:sz w:val="32"/>
          <w:szCs w:val="32"/>
          <w:lang w:eastAsia="zh-CN"/>
        </w:rPr>
        <w:t>合同管理</w:t>
      </w:r>
      <w:r>
        <w:rPr>
          <w:rFonts w:hint="eastAsia" w:ascii="仿宋_GB2312" w:hAnsi="仿宋" w:eastAsia="仿宋_GB2312"/>
          <w:color w:val="auto"/>
          <w:sz w:val="32"/>
          <w:szCs w:val="32"/>
          <w:lang w:val="en-US" w:eastAsia="zh-CN"/>
        </w:rPr>
        <w:t>--合同支付管理,</w:t>
      </w:r>
      <w:r>
        <w:rPr>
          <w:rFonts w:hint="eastAsia" w:ascii="仿宋_GB2312" w:hAnsi="仿宋" w:eastAsia="仿宋_GB2312"/>
          <w:sz w:val="32"/>
          <w:szCs w:val="32"/>
        </w:rPr>
        <w:t>如下图所示：</w:t>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sz w:val="32"/>
          <w:szCs w:val="32"/>
        </w:rPr>
      </w:pPr>
      <w:r>
        <w:drawing>
          <wp:inline distT="0" distB="0" distL="114300" distR="114300">
            <wp:extent cx="5267325" cy="3535680"/>
            <wp:effectExtent l="0" t="0" r="5715"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a:stretch>
                      <a:fillRect/>
                    </a:stretch>
                  </pic:blipFill>
                  <pic:spPr>
                    <a:xfrm>
                      <a:off x="0" y="0"/>
                      <a:ext cx="5267325" cy="3535680"/>
                    </a:xfrm>
                    <a:prstGeom prst="rect">
                      <a:avLst/>
                    </a:prstGeom>
                    <a:noFill/>
                    <a:ln>
                      <a:noFill/>
                    </a:ln>
                  </pic:spPr>
                </pic:pic>
              </a:graphicData>
            </a:graphic>
          </wp:inline>
        </w:drawing>
      </w: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color w:val="auto"/>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eastAsia" w:ascii="仿宋_GB2312" w:hAnsi="仿宋" w:eastAsia="仿宋_GB2312"/>
          <w:color w:val="auto"/>
          <w:sz w:val="32"/>
          <w:szCs w:val="32"/>
          <w:lang w:val="en-US" w:eastAsia="zh-CN"/>
        </w:rPr>
      </w:pPr>
      <w:r>
        <w:drawing>
          <wp:inline distT="0" distB="0" distL="114300" distR="114300">
            <wp:extent cx="5268595" cy="1020445"/>
            <wp:effectExtent l="0" t="0" r="4445" b="63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7"/>
                    <a:stretch>
                      <a:fillRect/>
                    </a:stretch>
                  </pic:blipFill>
                  <pic:spPr>
                    <a:xfrm>
                      <a:off x="0" y="0"/>
                      <a:ext cx="5268595" cy="1020445"/>
                    </a:xfrm>
                    <a:prstGeom prst="rect">
                      <a:avLst/>
                    </a:prstGeom>
                    <a:noFill/>
                    <a:ln>
                      <a:noFill/>
                    </a:ln>
                  </pic:spPr>
                </pic:pic>
              </a:graphicData>
            </a:graphic>
          </wp:inline>
        </w:drawing>
      </w:r>
    </w:p>
    <w:p>
      <w:pPr>
        <w:keepNext w:val="0"/>
        <w:keepLines w:val="0"/>
        <w:widowControl/>
        <w:suppressLineNumbers w:val="0"/>
        <w:jc w:val="left"/>
      </w:pPr>
    </w:p>
    <w:p>
      <w:pPr>
        <w:rPr>
          <w:rFonts w:hint="default" w:ascii="宋体" w:hAnsi="宋体" w:eastAsia="宋体"/>
          <w:sz w:val="30"/>
          <w:szCs w:val="30"/>
          <w:lang w:val="en-US" w:eastAsia="zh-CN"/>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12859B"/>
    <w:multiLevelType w:val="singleLevel"/>
    <w:tmpl w:val="701285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1NDVhZTBiOGQ3ZDdjMDA0OTVhNzA4NzE3N2M4NjUifQ=="/>
  </w:docVars>
  <w:rsids>
    <w:rsidRoot w:val="675F0EF0"/>
    <w:rsid w:val="016662D3"/>
    <w:rsid w:val="04AC243D"/>
    <w:rsid w:val="10207C67"/>
    <w:rsid w:val="11285DCA"/>
    <w:rsid w:val="1705313D"/>
    <w:rsid w:val="1E517181"/>
    <w:rsid w:val="1F53754A"/>
    <w:rsid w:val="1FDC1E27"/>
    <w:rsid w:val="24FA3743"/>
    <w:rsid w:val="25416888"/>
    <w:rsid w:val="26221FFB"/>
    <w:rsid w:val="278B18F2"/>
    <w:rsid w:val="27B9787F"/>
    <w:rsid w:val="28BF65C0"/>
    <w:rsid w:val="2ED039B9"/>
    <w:rsid w:val="31942AD9"/>
    <w:rsid w:val="3C6C640E"/>
    <w:rsid w:val="42FC005F"/>
    <w:rsid w:val="45C56C6C"/>
    <w:rsid w:val="49625D9E"/>
    <w:rsid w:val="4DAB47E6"/>
    <w:rsid w:val="537A54A3"/>
    <w:rsid w:val="549C069D"/>
    <w:rsid w:val="569238D1"/>
    <w:rsid w:val="593A36C2"/>
    <w:rsid w:val="59701E26"/>
    <w:rsid w:val="675F0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6">
    <w:name w:val="Body text|1"/>
    <w:basedOn w:val="1"/>
    <w:qFormat/>
    <w:uiPriority w:val="0"/>
    <w:pPr>
      <w:widowControl w:val="0"/>
      <w:shd w:val="clear" w:color="auto" w:fill="auto"/>
      <w:spacing w:line="408" w:lineRule="auto"/>
      <w:ind w:firstLine="260"/>
    </w:pPr>
    <w:rPr>
      <w:rFonts w:ascii="宋体" w:hAnsi="宋体" w:eastAsia="宋体" w:cs="宋体"/>
      <w:sz w:val="30"/>
      <w:szCs w:val="30"/>
      <w:u w:val="none"/>
      <w:shd w:val="clear" w:color="auto" w:fill="auto"/>
      <w:lang w:val="zh-TW" w:eastAsia="zh-TW" w:bidi="zh-TW"/>
    </w:rPr>
  </w:style>
  <w:style w:type="paragraph" w:customStyle="1" w:styleId="7">
    <w:name w:val="List Paragraph"/>
    <w:basedOn w:val="1"/>
    <w:qFormat/>
    <w:uiPriority w:val="0"/>
    <w:pPr>
      <w:ind w:firstLine="420" w:firstLineChars="200"/>
    </w:pPr>
    <w:rPr>
      <w:rFonts w:ascii="Calibri" w:hAnsi="Calibri"/>
      <w:szCs w:val="21"/>
    </w:rPr>
  </w:style>
  <w:style w:type="character" w:customStyle="1" w:styleId="8">
    <w:name w:val="15"/>
    <w:basedOn w:val="4"/>
    <w:qFormat/>
    <w:uiPriority w:val="0"/>
    <w:rPr>
      <w:rFonts w:hint="default" w:ascii="Calibri" w:hAnsi="Calibri"/>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1195</Words>
  <Characters>1378</Characters>
  <Lines>0</Lines>
  <Paragraphs>0</Paragraphs>
  <TotalTime>4</TotalTime>
  <ScaleCrop>false</ScaleCrop>
  <LinksUpToDate>false</LinksUpToDate>
  <CharactersWithSpaces>1378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2022-08-04T07:35:00Z</dcterms:created>
  <dc:creator>lenovo</dc:creator>
  <cp:lastModifiedBy>朱叶叶</cp:lastModifiedBy>
  <cp:lastPrinted>2022-08-08T09:28:00Z</cp:lastPrinted>
  <dcterms:modified xsi:type="dcterms:W3CDTF">2023-07-14T01:27:59Z</dcterms:modified>
  <dc:title>市级预算单位政府采购支出查询路径</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24860EB14A664DEDAED7A0DB6CC8ECB7_13</vt:lpwstr>
  </property>
</Properties>
</file>