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default" w:ascii="TimesNewRoman" w:hAnsi="TimesNewRoman" w:eastAsia="华文中宋" w:cs="TimesNewRoman"/>
          <w:b/>
          <w:szCs w:val="32"/>
        </w:rPr>
      </w:pPr>
    </w:p>
    <w:p>
      <w:pPr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淮南市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谢家集区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教育体育局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default" w:ascii="TimesNewRoman" w:hAnsi="TimesNewRoman" w:eastAsia="楷体_GB2312" w:cs="TimesNewRoman"/>
          <w:szCs w:val="32"/>
        </w:rPr>
      </w:pPr>
      <w:r>
        <w:rPr>
          <w:rFonts w:hint="default" w:ascii="TimesNewRoman" w:hAnsi="TimesNewRoman" w:eastAsia="华文中宋" w:cs="TimesNewRoman"/>
          <w:b/>
          <w:sz w:val="36"/>
          <w:szCs w:val="36"/>
        </w:rPr>
        <w:t>202</w:t>
      </w:r>
      <w:r>
        <w:rPr>
          <w:rFonts w:hint="eastAsia" w:ascii="TimesNewRoman" w:hAnsi="TimesNewRoman" w:eastAsia="华文中宋" w:cs="TimesNewRoman"/>
          <w:b/>
          <w:sz w:val="36"/>
          <w:szCs w:val="36"/>
          <w:lang w:val="en-US" w:eastAsia="zh-CN"/>
        </w:rPr>
        <w:t>4</w:t>
      </w:r>
      <w:r>
        <w:rPr>
          <w:rFonts w:hint="default" w:ascii="TimesNewRoman" w:hAnsi="TimesNewRoman" w:eastAsia="华文中宋" w:cs="TimesNewRoman"/>
          <w:b/>
          <w:sz w:val="36"/>
          <w:szCs w:val="36"/>
        </w:rPr>
        <w:t>年一般公共预算“三公”经费预算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default" w:ascii="TimesNewRoman" w:hAnsi="TimesNewRoman" w:cs="TimesNewRoman"/>
          <w:sz w:val="6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64" w:firstLineChars="200"/>
        <w:outlineLvl w:val="0"/>
        <w:rPr>
          <w:rFonts w:hint="default" w:ascii="TimesNewRoman" w:hAnsi="TimesNewRoman" w:eastAsia="黑体" w:cs="TimesNewRoman"/>
          <w:szCs w:val="32"/>
        </w:rPr>
      </w:pPr>
      <w:r>
        <w:rPr>
          <w:rFonts w:hint="default" w:ascii="TimesNewRoman" w:hAnsi="TimesNewRoman" w:eastAsia="黑体" w:cs="TimesNewRoman"/>
          <w:szCs w:val="32"/>
        </w:rPr>
        <w:t>一、202</w:t>
      </w:r>
      <w:r>
        <w:rPr>
          <w:rFonts w:hint="eastAsia" w:ascii="TimesNewRoman" w:hAnsi="TimesNewRoman" w:eastAsia="黑体" w:cs="TimesNewRoman"/>
          <w:szCs w:val="32"/>
          <w:lang w:val="en-US" w:eastAsia="zh-CN"/>
        </w:rPr>
        <w:t>4</w:t>
      </w:r>
      <w:r>
        <w:rPr>
          <w:rFonts w:hint="default" w:ascii="TimesNewRoman" w:hAnsi="TimesNewRoman" w:eastAsia="黑体" w:cs="TimesNewRoman"/>
          <w:szCs w:val="32"/>
        </w:rPr>
        <w:t>年一般公共预算“三公”经费支出预算表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rPr>
          <w:rStyle w:val="10"/>
          <w:rFonts w:hint="default" w:ascii="TimesNewRoman" w:hAnsi="TimesNewRoman" w:cs="TimesNewRoman"/>
          <w:b w:val="0"/>
          <w:bCs w:val="0"/>
          <w:szCs w:val="21"/>
        </w:rPr>
      </w:pPr>
      <w:r>
        <w:rPr>
          <w:rStyle w:val="10"/>
          <w:rFonts w:hint="default" w:ascii="TimesNewRoman" w:hAnsi="TimesNewRoman" w:cs="TimesNewRoman"/>
          <w:b w:val="0"/>
          <w:bCs w:val="0"/>
          <w:szCs w:val="21"/>
        </w:rPr>
        <w:t xml:space="preserve"> 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0" w:firstLineChars="196"/>
        <w:jc w:val="right"/>
        <w:rPr>
          <w:rStyle w:val="10"/>
          <w:rFonts w:hint="default" w:ascii="TimesNewRoman" w:hAnsi="TimesNewRoman" w:cs="TimesNewRoman"/>
          <w:b w:val="0"/>
          <w:bCs w:val="0"/>
          <w:sz w:val="28"/>
          <w:szCs w:val="28"/>
        </w:rPr>
      </w:pPr>
      <w:r>
        <w:rPr>
          <w:rStyle w:val="10"/>
          <w:rFonts w:hint="default" w:ascii="TimesNewRoman" w:hAnsi="TimesNewRoman" w:cs="TimesNewRoman"/>
          <w:b w:val="0"/>
          <w:bCs w:val="0"/>
          <w:szCs w:val="21"/>
        </w:rPr>
        <w:t xml:space="preserve">      </w:t>
      </w:r>
      <w:r>
        <w:rPr>
          <w:rStyle w:val="10"/>
          <w:rFonts w:hint="default" w:ascii="TimesNewRoman" w:hAnsi="TimesNewRoman" w:cs="TimesNewRoman"/>
          <w:b w:val="0"/>
          <w:bCs w:val="0"/>
          <w:sz w:val="28"/>
          <w:szCs w:val="28"/>
        </w:rPr>
        <w:t>单位：万元</w:t>
      </w:r>
    </w:p>
    <w:tbl>
      <w:tblPr>
        <w:tblStyle w:val="8"/>
        <w:tblW w:w="0" w:type="auto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50"/>
        <w:gridCol w:w="1080"/>
        <w:gridCol w:w="1730"/>
        <w:gridCol w:w="1810"/>
        <w:gridCol w:w="11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  <w:t>“三公”经费合计</w:t>
            </w: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  <w:t>因公出国（境）费</w:t>
            </w:r>
          </w:p>
        </w:tc>
        <w:tc>
          <w:tcPr>
            <w:tcW w:w="4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  <w:t>公务用车购置及运行费</w:t>
            </w: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  <w:t>公务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  <w:t>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3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  <w:t>小计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  <w:t>公务用车购置费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  <w:t>公务用车运行费</w:t>
            </w: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eastAsia="仿宋_GB2312" w:cs="TimesNew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NewRoman" w:hAnsi="TimesNewRoman" w:cs="TimesNewRoman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kern w:val="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firstLine="116" w:firstLineChars="50"/>
              <w:jc w:val="left"/>
              <w:rPr>
                <w:rFonts w:hint="default" w:ascii="TimesNewRoman" w:hAnsi="TimesNewRoman" w:cs="TimesNewRoman"/>
                <w:kern w:val="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firstLine="116" w:firstLineChars="50"/>
              <w:jc w:val="left"/>
              <w:rPr>
                <w:rFonts w:hint="default" w:ascii="TimesNewRoman" w:hAnsi="TimesNewRoman" w:cs="TimesNewRoman"/>
                <w:kern w:val="0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eastAsia="仿宋_GB2312" w:cs="TimesNew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  <w:lang w:val="en-US" w:eastAsia="zh-CN"/>
              </w:rPr>
              <w:t>1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outlineLvl w:val="0"/>
        <w:rPr>
          <w:rFonts w:hint="default" w:ascii="TimesNewRoman" w:hAnsi="TimesNewRoman" w:eastAsia="黑体" w:cs="TimesNewRoman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64" w:firstLineChars="200"/>
        <w:outlineLvl w:val="0"/>
        <w:rPr>
          <w:rFonts w:hint="default" w:ascii="TimesNewRoman" w:hAnsi="TimesNewRoman" w:eastAsia="黑体" w:cs="TimesNewRoman"/>
          <w:spacing w:val="-6"/>
          <w:szCs w:val="32"/>
        </w:rPr>
      </w:pPr>
      <w:r>
        <w:rPr>
          <w:rFonts w:hint="default" w:ascii="TimesNewRoman" w:hAnsi="TimesNewRoman" w:eastAsia="黑体" w:cs="TimesNewRoman"/>
          <w:szCs w:val="32"/>
        </w:rPr>
        <w:t>二、</w:t>
      </w:r>
      <w:r>
        <w:rPr>
          <w:rFonts w:hint="default" w:ascii="TimesNewRoman" w:hAnsi="TimesNewRoman" w:eastAsia="黑体" w:cs="TimesNewRoman"/>
          <w:spacing w:val="-6"/>
          <w:szCs w:val="32"/>
        </w:rPr>
        <w:t>202</w:t>
      </w:r>
      <w:r>
        <w:rPr>
          <w:rFonts w:hint="eastAsia" w:ascii="TimesNewRoman" w:hAnsi="TimesNewRoman" w:eastAsia="黑体" w:cs="TimesNewRoman"/>
          <w:spacing w:val="-6"/>
          <w:szCs w:val="32"/>
          <w:lang w:val="en-US" w:eastAsia="zh-CN"/>
        </w:rPr>
        <w:t>4</w:t>
      </w:r>
      <w:r>
        <w:rPr>
          <w:rFonts w:hint="default" w:ascii="TimesNewRoman" w:hAnsi="TimesNewRoman" w:eastAsia="黑体" w:cs="TimesNewRoman"/>
          <w:spacing w:val="-6"/>
          <w:szCs w:val="32"/>
        </w:rPr>
        <w:t>年一般公共预算“三公”经费支出预算情况说明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4" w:firstLineChars="200"/>
        <w:rPr>
          <w:rFonts w:hint="default" w:ascii="TimesNewRoman" w:hAnsi="TimesNewRoman" w:cs="TimesNewRoman"/>
          <w:szCs w:val="32"/>
        </w:rPr>
      </w:pPr>
      <w:r>
        <w:rPr>
          <w:rFonts w:hint="eastAsia" w:ascii="TimesNewRoman" w:hAnsi="TimesNewRoman" w:cs="TimesNewRoman"/>
          <w:szCs w:val="32"/>
          <w:lang w:eastAsia="zh-CN"/>
        </w:rPr>
        <w:t>谢家集区教育体育局</w:t>
      </w:r>
      <w:r>
        <w:rPr>
          <w:rFonts w:hint="default" w:ascii="TimesNewRoman" w:hAnsi="TimesNewRoman" w:cs="TimesNewRoman"/>
          <w:szCs w:val="32"/>
        </w:rPr>
        <w:t>202</w:t>
      </w:r>
      <w:r>
        <w:rPr>
          <w:rFonts w:hint="eastAsia" w:ascii="TimesNewRoman" w:hAnsi="TimesNewRoman" w:cs="TimesNewRoman"/>
          <w:szCs w:val="32"/>
          <w:lang w:val="en-US" w:eastAsia="zh-CN"/>
        </w:rPr>
        <w:t>4</w:t>
      </w:r>
      <w:r>
        <w:rPr>
          <w:rFonts w:hint="default" w:ascii="TimesNewRoman" w:hAnsi="TimesNewRoman" w:cs="TimesNewRoman"/>
          <w:szCs w:val="32"/>
        </w:rPr>
        <w:t>年一般公共预算“三公”经费支出预算为</w:t>
      </w:r>
      <w:r>
        <w:rPr>
          <w:rFonts w:hint="eastAsia" w:ascii="仿宋_GB2312" w:hAnsi="仿宋"/>
          <w:sz w:val="32"/>
          <w:szCs w:val="32"/>
          <w:lang w:val="en-US" w:eastAsia="zh-CN"/>
        </w:rPr>
        <w:t>1</w:t>
      </w:r>
      <w:r>
        <w:rPr>
          <w:rFonts w:hint="default" w:ascii="TimesNewRoman" w:hAnsi="TimesNewRoman" w:cs="TimesNewRoman"/>
          <w:szCs w:val="32"/>
        </w:rPr>
        <w:t>万元，</w:t>
      </w:r>
      <w:r>
        <w:rPr>
          <w:rFonts w:hint="eastAsia" w:ascii="TimesNewRoman" w:hAnsi="TimesNewRoman" w:cs="TimesNewRoman"/>
          <w:szCs w:val="32"/>
          <w:lang w:eastAsia="zh-CN"/>
        </w:rPr>
        <w:t>和</w:t>
      </w:r>
      <w:r>
        <w:rPr>
          <w:rFonts w:hint="default" w:ascii="TimesNewRoman" w:hAnsi="TimesNewRoman" w:cs="TimesNewRoman"/>
          <w:szCs w:val="32"/>
        </w:rPr>
        <w:t>202</w:t>
      </w:r>
      <w:r>
        <w:rPr>
          <w:rFonts w:hint="eastAsia" w:ascii="TimesNewRoman" w:hAnsi="TimesNewRoman" w:cs="TimesNewRoman"/>
          <w:szCs w:val="32"/>
          <w:lang w:val="en-US" w:eastAsia="zh-CN"/>
        </w:rPr>
        <w:t>3</w:t>
      </w:r>
      <w:r>
        <w:rPr>
          <w:rFonts w:hint="default" w:ascii="TimesNewRoman" w:hAnsi="TimesNewRoman" w:cs="TimesNewRoman"/>
          <w:szCs w:val="32"/>
        </w:rPr>
        <w:t>年预算</w:t>
      </w:r>
      <w:r>
        <w:rPr>
          <w:rFonts w:hint="eastAsia" w:ascii="TimesNewRoman" w:hAnsi="TimesNewRoman" w:cs="TimesNewRoman"/>
          <w:szCs w:val="32"/>
          <w:lang w:eastAsia="zh-CN"/>
        </w:rPr>
        <w:t>持平</w:t>
      </w:r>
      <w:r>
        <w:rPr>
          <w:rFonts w:hint="default" w:ascii="TimesNewRoman" w:hAnsi="TimesNewRoman" w:cs="TimesNewRoman"/>
          <w:szCs w:val="32"/>
        </w:rPr>
        <w:t>。其中：因公出国（境）费支出预算为</w:t>
      </w:r>
      <w:r>
        <w:rPr>
          <w:rFonts w:hint="eastAsia" w:ascii="仿宋_GB2312" w:hAnsi="仿宋"/>
          <w:sz w:val="32"/>
          <w:szCs w:val="32"/>
          <w:lang w:val="en-US" w:eastAsia="zh-CN"/>
        </w:rPr>
        <w:t>0</w:t>
      </w:r>
      <w:r>
        <w:rPr>
          <w:rFonts w:hint="default" w:ascii="TimesNewRoman" w:hAnsi="TimesNewRoman" w:cs="TimesNewRoman"/>
          <w:szCs w:val="32"/>
        </w:rPr>
        <w:t>万元，公务接待费支出预算为</w:t>
      </w:r>
      <w:r>
        <w:rPr>
          <w:rFonts w:hint="eastAsia" w:ascii="仿宋_GB2312" w:hAnsi="仿宋"/>
          <w:sz w:val="32"/>
          <w:szCs w:val="32"/>
          <w:lang w:val="en-US" w:eastAsia="zh-CN"/>
        </w:rPr>
        <w:t>1</w:t>
      </w:r>
      <w:r>
        <w:rPr>
          <w:rFonts w:hint="default" w:ascii="TimesNewRoman" w:hAnsi="TimesNewRoman" w:cs="TimesNewRoman"/>
          <w:szCs w:val="32"/>
        </w:rPr>
        <w:t>万元，公务用车购置及运行费支出预算为</w:t>
      </w:r>
      <w:r>
        <w:rPr>
          <w:rFonts w:hint="eastAsia" w:ascii="仿宋_GB2312" w:hAnsi="仿宋"/>
          <w:sz w:val="32"/>
          <w:szCs w:val="32"/>
          <w:lang w:val="en-US" w:eastAsia="zh-CN"/>
        </w:rPr>
        <w:t>0</w:t>
      </w:r>
      <w:r>
        <w:rPr>
          <w:rFonts w:hint="default" w:ascii="TimesNewRoman" w:hAnsi="TimesNewRoman" w:cs="TimesNewRoman"/>
          <w:szCs w:val="32"/>
        </w:rPr>
        <w:t>万元。具体情况如下：</w:t>
      </w:r>
    </w:p>
    <w:p>
      <w:pPr>
        <w:pStyle w:val="7"/>
        <w:adjustRightInd w:val="0"/>
        <w:snapToGrid w:val="0"/>
        <w:spacing w:before="0" w:beforeLines="0" w:beforeAutospacing="0" w:after="0" w:afterLines="0" w:afterAutospacing="0" w:line="540" w:lineRule="exact"/>
        <w:ind w:firstLine="664" w:firstLineChars="200"/>
        <w:jc w:val="both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（三）公务接待费</w:t>
      </w:r>
      <w:r>
        <w:rPr>
          <w:rFonts w:hint="eastAsia" w:ascii="仿宋_GB2312" w:hAnsi="仿宋" w:eastAsia="仿宋_GB2312"/>
          <w:sz w:val="32"/>
          <w:szCs w:val="32"/>
        </w:rPr>
        <w:t>支出预算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万元，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与</w:t>
      </w: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年预算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持平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该项经费</w:t>
      </w:r>
      <w:r>
        <w:rPr>
          <w:rFonts w:hint="eastAsia" w:ascii="仿宋" w:hAnsi="仿宋" w:eastAsia="仿宋"/>
          <w:color w:val="000000"/>
          <w:sz w:val="32"/>
          <w:szCs w:val="32"/>
        </w:rPr>
        <w:t>主要用于公务往来支出。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经费使用严格执行《党政机关厉行节约反对浪费条例》（中发〔2013〕13号）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《淮南市党政机关国内公务接待管理办法》（淮办发〔2014〕26号）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val="en-US" w:eastAsia="zh-CN"/>
        </w:rPr>
        <w:t>和《关于印发&lt;谢家集区党政机关国内公务接待管理办法&gt;的通知》（谢办发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〔201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〕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val="en-US" w:eastAsia="zh-CN"/>
        </w:rPr>
        <w:t>26号）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规定。</w:t>
      </w:r>
    </w:p>
    <w:p>
      <w:pPr>
        <w:pStyle w:val="7"/>
        <w:adjustRightInd w:val="0"/>
        <w:snapToGrid w:val="0"/>
        <w:spacing w:before="0" w:beforeLines="0" w:beforeAutospacing="0" w:after="0" w:afterLines="0" w:afterAutospacing="0" w:line="540" w:lineRule="exact"/>
        <w:ind w:firstLine="664" w:firstLineChars="200"/>
        <w:rPr>
          <w:rFonts w:hint="default" w:ascii="TimesNewRoman" w:hAnsi="TimesNewRoman" w:eastAsia="仿宋_GB2312" w:cs="TimesNewRoman"/>
          <w:sz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0" w:footer="992" w:gutter="0"/>
      <w:paperSrc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41"/>
      <w:cols w:space="720" w:num="1"/>
      <w:rtlGutter w:val="0"/>
      <w:docGrid w:type="linesAndChars" w:linePitch="437" w:charSpace="25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NewRoman">
    <w:altName w:val="Times New Roman"/>
    <w:panose1 w:val="02020603050405020304"/>
    <w:charset w:val="00"/>
    <w:family w:val="auto"/>
    <w:pitch w:val="default"/>
    <w:sig w:usb0="E0002EFF" w:usb1="D00078FF" w:usb2="00000029" w:usb3="00000000" w:csb0="6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  <w:rPr>
        <w:rFonts w:hint="eastAsia" w:ascii="仿宋_GB2312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zzAV0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  <w:lang/>
      </w:rPr>
      <w:t>1</w: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66"/>
  <w:drawingGridVerticalSpacing w:val="219"/>
  <w:displayHorizontalDrawingGridEvery w:val="2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3MDUxNTA5YWYwMWNmNzc2Y2RmMzgxZTUyYjJkNjMifQ=="/>
  </w:docVars>
  <w:rsids>
    <w:rsidRoot w:val="00172A27"/>
    <w:rsid w:val="625E13B5"/>
    <w:rsid w:val="69B83B2B"/>
    <w:rsid w:val="7D4E665F"/>
    <w:rsid w:val="7E8E48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仿宋_GB2312"/>
      <w:kern w:val="2"/>
      <w:sz w:val="32"/>
      <w:lang w:val="en-US" w:eastAsia="zh-CN" w:bidi="ar-SA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iPriority w:val="0"/>
    <w:pPr>
      <w:jc w:val="center"/>
    </w:pPr>
    <w:rPr>
      <w:rFonts w:eastAsia="黑体"/>
      <w:kern w:val="2"/>
      <w:sz w:val="36"/>
      <w:lang w:val="en-US" w:eastAsia="zh-CN" w:bidi="ar-SA"/>
    </w:rPr>
  </w:style>
  <w:style w:type="paragraph" w:styleId="3">
    <w:name w:val="Date"/>
    <w:basedOn w:val="1"/>
    <w:next w:val="1"/>
    <w:uiPriority w:val="0"/>
    <w:pPr>
      <w:ind w:left="100" w:leftChars="2500"/>
    </w:p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kern w:val="2"/>
      <w:sz w:val="18"/>
      <w:lang w:val="en-US" w:eastAsia="zh-CN" w:bidi="ar-SA"/>
    </w:rPr>
  </w:style>
  <w:style w:type="paragraph" w:styleId="6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kern w:val="2"/>
      <w:sz w:val="18"/>
      <w:lang w:val="en-US" w:eastAsia="zh-CN" w:bidi="ar-SA"/>
    </w:rPr>
  </w:style>
  <w:style w:type="paragraph" w:styleId="7">
    <w:name w:val="Normal (Web)"/>
    <w:basedOn w:val="1"/>
    <w:uiPriority w:val="0"/>
    <w:rPr>
      <w:rFonts w:eastAsia="宋体"/>
      <w:sz w:val="24"/>
      <w:szCs w:val="24"/>
    </w:rPr>
  </w:style>
  <w:style w:type="character" w:styleId="10">
    <w:name w:val="Strong"/>
    <w:basedOn w:val="9"/>
    <w:uiPriority w:val="0"/>
    <w:rPr>
      <w:b/>
      <w:bCs/>
    </w:rPr>
  </w:style>
  <w:style w:type="character" w:styleId="11">
    <w:name w:val="page number"/>
    <w:basedOn w:val="9"/>
    <w:uiPriority w:val="0"/>
  </w:style>
  <w:style w:type="character" w:customStyle="1" w:styleId="12">
    <w:name w:val="正文文本 Char"/>
    <w:basedOn w:val="9"/>
    <w:link w:val="2"/>
    <w:uiPriority w:val="0"/>
    <w:rPr>
      <w:rFonts w:eastAsia="黑体"/>
      <w:kern w:val="2"/>
      <w:sz w:val="36"/>
      <w:lang w:val="en-US" w:eastAsia="zh-CN" w:bidi="ar-SA"/>
    </w:rPr>
  </w:style>
  <w:style w:type="character" w:customStyle="1" w:styleId="13">
    <w:name w:val="Footer Char"/>
    <w:basedOn w:val="9"/>
    <w:link w:val="5"/>
    <w:uiPriority w:val="0"/>
    <w:rPr>
      <w:rFonts w:eastAsia="仿宋_GB2312"/>
      <w:kern w:val="2"/>
      <w:sz w:val="18"/>
      <w:lang w:val="en-US" w:eastAsia="zh-CN" w:bidi="ar-SA"/>
    </w:rPr>
  </w:style>
  <w:style w:type="character" w:customStyle="1" w:styleId="14">
    <w:name w:val="Header Char"/>
    <w:basedOn w:val="9"/>
    <w:link w:val="6"/>
    <w:uiPriority w:val="0"/>
    <w:rPr>
      <w:rFonts w:eastAsia="仿宋_GB2312"/>
      <w:kern w:val="2"/>
      <w:sz w:val="18"/>
      <w:lang w:val="en-US" w:eastAsia="zh-CN" w:bidi="ar-SA"/>
    </w:rPr>
  </w:style>
  <w:style w:type="paragraph" w:customStyle="1" w:styleId="15">
    <w:name w:val="List Paragraph1"/>
    <w:basedOn w:val="1"/>
    <w:uiPriority w:val="0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416</Words>
  <Characters>464</Characters>
  <Lines>146</Lines>
  <Paragraphs>41</Paragraphs>
  <TotalTime>0</TotalTime>
  <ScaleCrop>false</ScaleCrop>
  <LinksUpToDate>false</LinksUpToDate>
  <CharactersWithSpaces>473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2022-02-01T08:27:00Z</dcterms:created>
  <dc:creator>杨丽</dc:creator>
  <cp:lastModifiedBy>婷婷</cp:lastModifiedBy>
  <cp:lastPrinted>2023-01-22T01:12:17Z</cp:lastPrinted>
  <dcterms:modified xsi:type="dcterms:W3CDTF">2024-04-02T07:35:31Z</dcterms:modified>
  <dc:title>财〔2002〕号</dc:title>
  <cp:revision>224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47A8C99DF28F4E18A634E558F4989B76_13</vt:lpwstr>
  </property>
</Properties>
</file>