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adjustRightInd w:val="0"/>
        <w:snapToGrid w:val="0"/>
        <w:spacing w:line="360" w:lineRule="auto"/>
        <w:jc w:val="center"/>
        <w:rPr>
          <w:rFonts w:ascii="宋体"/>
          <w:b/>
          <w:sz w:val="44"/>
          <w:szCs w:val="44"/>
          <w:u w:val="single"/>
        </w:rPr>
      </w:pPr>
    </w:p>
    <w:p>
      <w:pPr>
        <w:jc w:val="center"/>
        <w:rPr>
          <w:rFonts w:ascii="华文中宋" w:hAnsi="华文中宋" w:eastAsia="华文中宋" w:cs="华文中宋"/>
          <w:b/>
          <w:sz w:val="44"/>
          <w:szCs w:val="44"/>
        </w:rPr>
      </w:pPr>
      <w:r>
        <w:rPr>
          <w:rFonts w:hint="eastAsia" w:ascii="华文中宋" w:hAnsi="华文中宋" w:eastAsia="华文中宋" w:cs="华文中宋"/>
          <w:b/>
          <w:sz w:val="44"/>
          <w:szCs w:val="44"/>
          <w:lang w:val="en-US" w:eastAsia="zh-CN"/>
        </w:rPr>
        <w:t>谢家集区妇女联合会</w:t>
      </w:r>
      <w:r>
        <w:rPr>
          <w:rFonts w:ascii="华文中宋" w:hAnsi="华文中宋" w:eastAsia="华文中宋" w:cs="华文中宋"/>
          <w:b/>
          <w:sz w:val="44"/>
          <w:szCs w:val="44"/>
        </w:rPr>
        <w:t>202</w:t>
      </w:r>
      <w:r>
        <w:rPr>
          <w:rFonts w:hint="eastAsia" w:ascii="华文中宋" w:hAnsi="华文中宋" w:eastAsia="华文中宋" w:cs="华文中宋"/>
          <w:b/>
          <w:sz w:val="44"/>
          <w:szCs w:val="44"/>
          <w:lang w:val="en-US" w:eastAsia="zh-CN"/>
        </w:rPr>
        <w:t>4</w:t>
      </w:r>
      <w:r>
        <w:rPr>
          <w:rFonts w:hint="eastAsia" w:ascii="华文中宋" w:hAnsi="华文中宋" w:eastAsia="华文中宋" w:cs="华文中宋"/>
          <w:b/>
          <w:sz w:val="44"/>
          <w:szCs w:val="44"/>
        </w:rPr>
        <w:t>年部门预算</w:t>
      </w: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36"/>
          <w:szCs w:val="36"/>
        </w:rPr>
      </w:pPr>
    </w:p>
    <w:p>
      <w:pPr>
        <w:pStyle w:val="6"/>
        <w:adjustRightInd w:val="0"/>
        <w:snapToGrid w:val="0"/>
        <w:spacing w:before="0" w:beforeAutospacing="0" w:after="0" w:afterAutospacing="0" w:line="360" w:lineRule="auto"/>
        <w:jc w:val="center"/>
        <w:rPr>
          <w:rFonts w:ascii="黑体" w:hAnsi="黑体" w:eastAsia="黑体"/>
          <w:bCs/>
          <w:sz w:val="44"/>
          <w:szCs w:val="44"/>
        </w:rPr>
      </w:pPr>
      <w:r>
        <w:rPr>
          <w:rFonts w:ascii="黑体" w:hAnsi="黑体" w:eastAsia="黑体"/>
          <w:bCs/>
          <w:sz w:val="44"/>
          <w:szCs w:val="44"/>
        </w:rPr>
        <w:t>202</w:t>
      </w:r>
      <w:r>
        <w:rPr>
          <w:rFonts w:hint="eastAsia" w:ascii="黑体" w:hAnsi="黑体" w:eastAsia="黑体"/>
          <w:bCs/>
          <w:sz w:val="44"/>
          <w:szCs w:val="44"/>
          <w:lang w:val="en-US" w:eastAsia="zh-CN"/>
        </w:rPr>
        <w:t>4</w:t>
      </w:r>
      <w:r>
        <w:rPr>
          <w:rFonts w:hint="eastAsia" w:ascii="黑体" w:hAnsi="黑体" w:eastAsia="黑体"/>
          <w:bCs/>
          <w:sz w:val="44"/>
          <w:szCs w:val="44"/>
        </w:rPr>
        <w:t>年</w:t>
      </w:r>
      <w:r>
        <w:rPr>
          <w:rFonts w:hint="eastAsia" w:ascii="黑体" w:hAnsi="黑体" w:eastAsia="黑体"/>
          <w:bCs/>
          <w:sz w:val="44"/>
          <w:szCs w:val="44"/>
          <w:lang w:val="en-US" w:eastAsia="zh-CN"/>
        </w:rPr>
        <w:t>2</w:t>
      </w:r>
      <w:r>
        <w:rPr>
          <w:rFonts w:hint="eastAsia" w:ascii="黑体" w:hAnsi="黑体" w:eastAsia="黑体"/>
          <w:bCs/>
          <w:sz w:val="44"/>
          <w:szCs w:val="44"/>
        </w:rPr>
        <w:t>月</w:t>
      </w:r>
    </w:p>
    <w:p>
      <w:pPr>
        <w:pStyle w:val="6"/>
        <w:adjustRightInd w:val="0"/>
        <w:snapToGrid w:val="0"/>
        <w:spacing w:before="0" w:beforeAutospacing="0" w:after="0" w:afterAutospacing="0" w:line="360" w:lineRule="auto"/>
        <w:jc w:val="both"/>
        <w:rPr>
          <w:rFonts w:ascii="黑体" w:hAnsi="黑体" w:eastAsia="黑体"/>
          <w:bCs/>
          <w:sz w:val="36"/>
          <w:szCs w:val="36"/>
        </w:rPr>
      </w:pPr>
    </w:p>
    <w:p>
      <w:pPr>
        <w:pStyle w:val="6"/>
        <w:adjustRightInd w:val="0"/>
        <w:snapToGrid w:val="0"/>
        <w:spacing w:before="0" w:beforeAutospacing="0" w:after="0" w:afterAutospacing="0" w:line="500" w:lineRule="exact"/>
        <w:jc w:val="center"/>
        <w:rPr>
          <w:rFonts w:ascii="黑体" w:hAnsi="黑体" w:eastAsia="黑体"/>
          <w:bCs/>
          <w:sz w:val="44"/>
          <w:szCs w:val="44"/>
        </w:rPr>
      </w:pPr>
    </w:p>
    <w:p>
      <w:pPr>
        <w:pStyle w:val="6"/>
        <w:adjustRightInd w:val="0"/>
        <w:snapToGrid w:val="0"/>
        <w:spacing w:before="0" w:beforeAutospacing="0" w:after="0" w:afterAutospacing="0" w:line="500" w:lineRule="exact"/>
        <w:jc w:val="center"/>
        <w:rPr>
          <w:rFonts w:ascii="黑体" w:hAnsi="黑体" w:eastAsia="黑体"/>
          <w:bCs/>
          <w:sz w:val="44"/>
          <w:szCs w:val="44"/>
        </w:rPr>
      </w:pPr>
      <w:r>
        <w:rPr>
          <w:rFonts w:hint="eastAsia" w:ascii="黑体" w:hAnsi="黑体" w:eastAsia="黑体"/>
          <w:bCs/>
          <w:sz w:val="44"/>
          <w:szCs w:val="44"/>
        </w:rPr>
        <w:t>目</w:t>
      </w:r>
      <w:r>
        <w:rPr>
          <w:rFonts w:ascii="黑体" w:hAnsi="黑体" w:eastAsia="黑体"/>
          <w:bCs/>
          <w:sz w:val="44"/>
          <w:szCs w:val="44"/>
        </w:rPr>
        <w:t xml:space="preserve"> </w:t>
      </w:r>
      <w:r>
        <w:rPr>
          <w:rFonts w:hint="eastAsia" w:ascii="黑体" w:hAnsi="黑体" w:eastAsia="黑体"/>
          <w:bCs/>
          <w:sz w:val="44"/>
          <w:szCs w:val="44"/>
        </w:rPr>
        <w:t>录</w:t>
      </w:r>
    </w:p>
    <w:p>
      <w:pPr>
        <w:pStyle w:val="6"/>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p>
    <w:p>
      <w:pPr>
        <w:pStyle w:val="6"/>
        <w:adjustRightInd w:val="0"/>
        <w:snapToGrid w:val="0"/>
        <w:spacing w:before="0" w:beforeAutospacing="0" w:after="0" w:afterAutospacing="0" w:line="500" w:lineRule="exact"/>
        <w:ind w:firstLine="643" w:firstLineChars="200"/>
        <w:jc w:val="both"/>
        <w:rPr>
          <w:rFonts w:ascii="仿宋_GB2312" w:hAnsi="仿宋" w:eastAsia="仿宋_GB2312" w:cs="仿宋"/>
          <w:b/>
          <w:sz w:val="32"/>
          <w:szCs w:val="32"/>
        </w:rPr>
      </w:pPr>
      <w:r>
        <w:rPr>
          <w:rFonts w:hint="eastAsia" w:ascii="仿宋_GB2312" w:hAnsi="仿宋" w:eastAsia="仿宋_GB2312" w:cs="仿宋"/>
          <w:b/>
          <w:sz w:val="32"/>
          <w:szCs w:val="32"/>
        </w:rPr>
        <w:t>第一部分</w:t>
      </w:r>
      <w:r>
        <w:rPr>
          <w:rFonts w:ascii="仿宋_GB2312" w:hAnsi="仿宋" w:eastAsia="仿宋_GB2312" w:cs="仿宋"/>
          <w:b/>
          <w:sz w:val="32"/>
          <w:szCs w:val="32"/>
        </w:rPr>
        <w:t xml:space="preserve"> </w:t>
      </w:r>
      <w:r>
        <w:rPr>
          <w:rFonts w:hint="eastAsia" w:ascii="仿宋_GB2312" w:hAnsi="仿宋" w:eastAsia="仿宋_GB2312" w:cs="仿宋"/>
          <w:b/>
          <w:sz w:val="32"/>
          <w:szCs w:val="32"/>
          <w:lang w:val="en-US" w:eastAsia="zh-CN"/>
        </w:rPr>
        <w:t>单位</w:t>
      </w:r>
      <w:r>
        <w:rPr>
          <w:rFonts w:hint="eastAsia" w:ascii="仿宋_GB2312" w:hAnsi="仿宋" w:eastAsia="仿宋_GB2312" w:cs="仿宋"/>
          <w:b/>
          <w:sz w:val="32"/>
          <w:szCs w:val="32"/>
        </w:rPr>
        <w:t>概况</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w:t>
      </w:r>
      <w:r>
        <w:rPr>
          <w:rFonts w:hint="eastAsia" w:ascii="仿宋_GB2312" w:hAnsi="仿宋" w:eastAsia="仿宋_GB2312" w:cs="仿宋"/>
          <w:bCs/>
          <w:sz w:val="32"/>
          <w:szCs w:val="32"/>
        </w:rPr>
        <w:t>主要职责</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w:t>
      </w:r>
      <w:r>
        <w:rPr>
          <w:rFonts w:hint="eastAsia" w:ascii="仿宋_GB2312" w:hAnsi="仿宋" w:eastAsia="仿宋_GB2312" w:cs="仿宋"/>
          <w:bCs/>
          <w:sz w:val="32"/>
          <w:szCs w:val="32"/>
        </w:rPr>
        <w:t>部门预算</w:t>
      </w:r>
      <w:r>
        <w:rPr>
          <w:rFonts w:hint="eastAsia" w:ascii="仿宋_GB2312" w:hAnsi="仿宋" w:eastAsia="仿宋_GB2312" w:cs="仿宋"/>
          <w:bCs/>
          <w:sz w:val="32"/>
          <w:szCs w:val="32"/>
          <w:lang w:val="en-US" w:eastAsia="zh-CN"/>
        </w:rPr>
        <w:t>单位</w:t>
      </w:r>
      <w:r>
        <w:rPr>
          <w:rFonts w:hint="eastAsia" w:ascii="仿宋_GB2312" w:hAnsi="仿宋" w:eastAsia="仿宋_GB2312" w:cs="仿宋"/>
          <w:bCs/>
          <w:sz w:val="32"/>
          <w:szCs w:val="32"/>
        </w:rPr>
        <w:t>构成</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3.202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年度主要工作任务</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第二部分</w:t>
      </w:r>
      <w:r>
        <w:rPr>
          <w:rFonts w:ascii="仿宋_GB2312" w:hAnsi="仿宋" w:eastAsia="仿宋_GB2312" w:cs="仿宋"/>
          <w:b/>
          <w:sz w:val="32"/>
          <w:szCs w:val="32"/>
        </w:rPr>
        <w:t xml:space="preserve"> 202</w:t>
      </w:r>
      <w:r>
        <w:rPr>
          <w:rFonts w:hint="eastAsia" w:ascii="仿宋_GB2312" w:hAnsi="仿宋" w:eastAsia="仿宋_GB2312" w:cs="仿宋"/>
          <w:b/>
          <w:sz w:val="32"/>
          <w:szCs w:val="32"/>
          <w:lang w:val="en-US" w:eastAsia="zh-CN"/>
        </w:rPr>
        <w:t>4</w:t>
      </w:r>
      <w:r>
        <w:rPr>
          <w:rFonts w:hint="eastAsia" w:ascii="仿宋_GB2312" w:hAnsi="仿宋" w:eastAsia="仿宋_GB2312" w:cs="仿宋"/>
          <w:b/>
          <w:sz w:val="32"/>
          <w:szCs w:val="32"/>
        </w:rPr>
        <w:t>年</w:t>
      </w:r>
      <w:r>
        <w:rPr>
          <w:rFonts w:hint="eastAsia" w:ascii="仿宋_GB2312" w:hAnsi="仿宋" w:eastAsia="仿宋_GB2312" w:cs="仿宋"/>
          <w:b/>
          <w:sz w:val="32"/>
          <w:szCs w:val="32"/>
          <w:lang w:val="en-US" w:eastAsia="zh-CN"/>
        </w:rPr>
        <w:t>单位</w:t>
      </w:r>
      <w:r>
        <w:rPr>
          <w:rFonts w:hint="eastAsia" w:ascii="仿宋_GB2312" w:hAnsi="仿宋" w:eastAsia="仿宋_GB2312" w:cs="仿宋"/>
          <w:b/>
          <w:sz w:val="32"/>
          <w:szCs w:val="32"/>
        </w:rPr>
        <w:t>预算表</w:t>
      </w:r>
    </w:p>
    <w:p>
      <w:pPr>
        <w:pStyle w:val="6"/>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1.202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年收支总表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年收入总表</w:t>
      </w:r>
    </w:p>
    <w:p>
      <w:pPr>
        <w:pStyle w:val="6"/>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3.202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年支出总表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4.</w:t>
      </w:r>
      <w:r>
        <w:rPr>
          <w:rFonts w:hint="eastAsia" w:ascii="仿宋_GB2312" w:hAnsi="仿宋" w:eastAsia="仿宋_GB2312" w:cs="仿宋"/>
          <w:bCs/>
          <w:sz w:val="32"/>
          <w:szCs w:val="32"/>
          <w:lang w:val="en-US" w:eastAsia="zh-CN"/>
        </w:rPr>
        <w:t>2</w:t>
      </w:r>
      <w:r>
        <w:rPr>
          <w:rFonts w:ascii="仿宋_GB2312" w:hAnsi="仿宋" w:eastAsia="仿宋_GB2312" w:cs="仿宋"/>
          <w:bCs/>
          <w:sz w:val="32"/>
          <w:szCs w:val="32"/>
        </w:rPr>
        <w:t>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年财政拨款收支总表</w:t>
      </w:r>
    </w:p>
    <w:p>
      <w:pPr>
        <w:pStyle w:val="6"/>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5.202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6.202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年一般公共预算基本支出表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7.202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年政府性基金预算支出表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8.202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年国有资本经营预算支出表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9.202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年项目支出表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10.202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年政府采购支出表</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11.202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年政府购买服务支出表</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第三部分</w:t>
      </w:r>
      <w:r>
        <w:rPr>
          <w:rFonts w:ascii="仿宋_GB2312" w:hAnsi="仿宋" w:eastAsia="仿宋_GB2312" w:cs="仿宋"/>
          <w:b/>
          <w:sz w:val="32"/>
          <w:szCs w:val="32"/>
        </w:rPr>
        <w:t xml:space="preserve"> 202</w:t>
      </w:r>
      <w:r>
        <w:rPr>
          <w:rFonts w:hint="eastAsia" w:ascii="仿宋_GB2312" w:hAnsi="仿宋" w:eastAsia="仿宋_GB2312" w:cs="仿宋"/>
          <w:b/>
          <w:sz w:val="32"/>
          <w:szCs w:val="32"/>
          <w:lang w:val="en-US" w:eastAsia="zh-CN"/>
        </w:rPr>
        <w:t>4</w:t>
      </w:r>
      <w:r>
        <w:rPr>
          <w:rFonts w:hint="eastAsia" w:ascii="仿宋_GB2312" w:hAnsi="仿宋" w:eastAsia="仿宋_GB2312" w:cs="仿宋"/>
          <w:b/>
          <w:sz w:val="32"/>
          <w:szCs w:val="32"/>
        </w:rPr>
        <w:t>年</w:t>
      </w:r>
      <w:r>
        <w:rPr>
          <w:rFonts w:hint="eastAsia" w:ascii="仿宋_GB2312" w:hAnsi="仿宋" w:eastAsia="仿宋_GB2312" w:cs="仿宋"/>
          <w:b/>
          <w:sz w:val="32"/>
          <w:szCs w:val="32"/>
          <w:u w:val="none"/>
        </w:rPr>
        <w:t>单位</w:t>
      </w:r>
      <w:r>
        <w:rPr>
          <w:rFonts w:hint="eastAsia" w:ascii="仿宋_GB2312" w:hAnsi="仿宋" w:eastAsia="仿宋_GB2312" w:cs="仿宋"/>
          <w:b/>
          <w:sz w:val="32"/>
          <w:szCs w:val="32"/>
        </w:rPr>
        <w:t>预算情况说明</w:t>
      </w:r>
    </w:p>
    <w:p>
      <w:pPr>
        <w:pStyle w:val="6"/>
        <w:adjustRightInd w:val="0"/>
        <w:snapToGrid w:val="0"/>
        <w:spacing w:before="0" w:beforeAutospacing="0" w:after="0" w:afterAutospacing="0" w:line="500" w:lineRule="exact"/>
        <w:ind w:firstLine="640" w:firstLineChars="200"/>
        <w:outlineLvl w:val="0"/>
        <w:rPr>
          <w:rFonts w:ascii="仿宋_GB2312" w:hAnsi="仿宋" w:eastAsia="仿宋_GB2312" w:cs="仿宋"/>
          <w:bCs/>
          <w:sz w:val="32"/>
          <w:szCs w:val="32"/>
        </w:rPr>
      </w:pPr>
      <w:r>
        <w:rPr>
          <w:rFonts w:ascii="仿宋_GB2312" w:hAnsi="仿宋" w:eastAsia="仿宋_GB2312" w:cs="仿宋"/>
          <w:bCs/>
          <w:sz w:val="32"/>
          <w:szCs w:val="32"/>
        </w:rPr>
        <w:t>1.</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年收支总表的说明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2.</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年收入总表的说明</w:t>
      </w:r>
    </w:p>
    <w:p>
      <w:pPr>
        <w:adjustRightInd w:val="0"/>
        <w:snapToGrid w:val="0"/>
        <w:spacing w:line="600" w:lineRule="exact"/>
        <w:ind w:firstLine="640" w:firstLineChars="200"/>
        <w:rPr>
          <w:rFonts w:ascii="仿宋_GB2312" w:hAnsi="仿宋" w:eastAsia="仿宋_GB2312" w:cs="仿宋"/>
          <w:bCs/>
          <w:kern w:val="0"/>
          <w:sz w:val="32"/>
          <w:szCs w:val="32"/>
        </w:rPr>
      </w:pPr>
      <w:r>
        <w:rPr>
          <w:rFonts w:ascii="仿宋_GB2312" w:hAnsi="仿宋" w:eastAsia="仿宋_GB2312" w:cs="仿宋"/>
          <w:bCs/>
          <w:kern w:val="0"/>
          <w:sz w:val="32"/>
          <w:szCs w:val="32"/>
        </w:rPr>
        <w:t>3.</w:t>
      </w:r>
      <w:r>
        <w:rPr>
          <w:rFonts w:hint="eastAsia" w:ascii="仿宋_GB2312" w:hAnsi="仿宋" w:eastAsia="仿宋_GB2312" w:cs="仿宋"/>
          <w:bCs/>
          <w:kern w:val="0"/>
          <w:sz w:val="32"/>
          <w:szCs w:val="32"/>
        </w:rPr>
        <w:t>关于</w:t>
      </w:r>
      <w:r>
        <w:rPr>
          <w:rFonts w:ascii="仿宋_GB2312" w:hAnsi="仿宋" w:eastAsia="仿宋_GB2312" w:cs="仿宋"/>
          <w:bCs/>
          <w:kern w:val="0"/>
          <w:sz w:val="32"/>
          <w:szCs w:val="32"/>
        </w:rPr>
        <w:t>202</w:t>
      </w:r>
      <w:r>
        <w:rPr>
          <w:rFonts w:hint="eastAsia" w:ascii="仿宋_GB2312" w:hAnsi="仿宋" w:eastAsia="仿宋_GB2312" w:cs="仿宋"/>
          <w:bCs/>
          <w:kern w:val="0"/>
          <w:sz w:val="32"/>
          <w:szCs w:val="32"/>
          <w:lang w:val="en-US" w:eastAsia="zh-CN"/>
        </w:rPr>
        <w:t>4</w:t>
      </w:r>
      <w:r>
        <w:rPr>
          <w:rFonts w:hint="eastAsia" w:ascii="仿宋_GB2312" w:hAnsi="仿宋" w:eastAsia="仿宋_GB2312" w:cs="仿宋"/>
          <w:bCs/>
          <w:kern w:val="0"/>
          <w:sz w:val="32"/>
          <w:szCs w:val="32"/>
        </w:rPr>
        <w:t>年支出总表的说明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4.</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年财政拨款收支总表的说明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5.</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6.</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年一般公共预算基本支出表的说明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7.</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年政府性基金预算支出表的说明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8.</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年国有资本经营预算支出表的说明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9.</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年项目支出表的说明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10.</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年政府采购支出表的说明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11.</w:t>
      </w:r>
      <w:r>
        <w:rPr>
          <w:rFonts w:hint="eastAsia" w:ascii="仿宋_GB2312" w:hAnsi="仿宋" w:eastAsia="仿宋_GB2312" w:cs="仿宋"/>
          <w:bCs/>
          <w:sz w:val="32"/>
          <w:szCs w:val="32"/>
        </w:rPr>
        <w:t>关于</w:t>
      </w:r>
      <w:r>
        <w:rPr>
          <w:rFonts w:ascii="仿宋_GB2312" w:hAnsi="仿宋" w:eastAsia="仿宋_GB2312" w:cs="仿宋"/>
          <w:bCs/>
          <w:sz w:val="32"/>
          <w:szCs w:val="32"/>
        </w:rPr>
        <w:t>202</w:t>
      </w:r>
      <w:r>
        <w:rPr>
          <w:rFonts w:hint="eastAsia" w:ascii="仿宋_GB2312" w:hAnsi="仿宋" w:eastAsia="仿宋_GB2312" w:cs="仿宋"/>
          <w:bCs/>
          <w:sz w:val="32"/>
          <w:szCs w:val="32"/>
          <w:lang w:val="en-US" w:eastAsia="zh-CN"/>
        </w:rPr>
        <w:t>4</w:t>
      </w:r>
      <w:r>
        <w:rPr>
          <w:rFonts w:hint="eastAsia" w:ascii="仿宋_GB2312" w:hAnsi="仿宋" w:eastAsia="仿宋_GB2312" w:cs="仿宋"/>
          <w:bCs/>
          <w:sz w:val="32"/>
          <w:szCs w:val="32"/>
        </w:rPr>
        <w:t>年政府购买服务支出表的说明</w:t>
      </w:r>
    </w:p>
    <w:p>
      <w:pPr>
        <w:pStyle w:val="6"/>
        <w:adjustRightInd w:val="0"/>
        <w:snapToGrid w:val="0"/>
        <w:spacing w:before="0" w:beforeAutospacing="0" w:after="0" w:afterAutospacing="0" w:line="50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12.</w:t>
      </w:r>
      <w:r>
        <w:rPr>
          <w:rFonts w:hint="eastAsia" w:ascii="仿宋_GB2312" w:hAnsi="仿宋" w:eastAsia="仿宋_GB2312" w:cs="仿宋"/>
          <w:bCs/>
          <w:sz w:val="32"/>
          <w:szCs w:val="32"/>
        </w:rPr>
        <w:t>其他重要事项情况说明</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第四部分</w:t>
      </w:r>
      <w:r>
        <w:rPr>
          <w:rFonts w:ascii="仿宋_GB2312" w:hAnsi="仿宋" w:eastAsia="仿宋_GB2312" w:cs="仿宋"/>
          <w:b/>
          <w:sz w:val="32"/>
          <w:szCs w:val="32"/>
        </w:rPr>
        <w:t xml:space="preserve"> </w:t>
      </w:r>
      <w:r>
        <w:rPr>
          <w:rFonts w:hint="eastAsia" w:ascii="仿宋_GB2312" w:hAnsi="仿宋" w:eastAsia="仿宋_GB2312" w:cs="仿宋"/>
          <w:b/>
          <w:sz w:val="32"/>
          <w:szCs w:val="32"/>
        </w:rPr>
        <w:t>名词解释</w:t>
      </w: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6"/>
        <w:adjustRightInd w:val="0"/>
        <w:snapToGrid w:val="0"/>
        <w:spacing w:before="0" w:beforeAutospacing="0" w:after="0" w:afterAutospacing="0" w:line="500" w:lineRule="exact"/>
        <w:ind w:firstLine="643" w:firstLineChars="200"/>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500" w:lineRule="exact"/>
        <w:rPr>
          <w:rFonts w:ascii="仿宋_GB2312" w:hAnsi="仿宋" w:eastAsia="仿宋_GB2312" w:cs="仿宋"/>
          <w:b/>
          <w:sz w:val="32"/>
          <w:szCs w:val="32"/>
        </w:rPr>
      </w:pPr>
    </w:p>
    <w:p>
      <w:pPr>
        <w:pStyle w:val="6"/>
        <w:adjustRightInd w:val="0"/>
        <w:snapToGrid w:val="0"/>
        <w:spacing w:before="0" w:beforeAutospacing="0" w:after="0" w:afterAutospacing="0" w:line="360" w:lineRule="auto"/>
        <w:jc w:val="center"/>
        <w:rPr>
          <w:rFonts w:ascii="黑体" w:hAnsi="黑体" w:eastAsia="黑体"/>
          <w:bCs/>
          <w:sz w:val="36"/>
          <w:szCs w:val="36"/>
        </w:rPr>
      </w:pPr>
      <w:r>
        <w:rPr>
          <w:rFonts w:hint="eastAsia" w:ascii="黑体" w:hAnsi="黑体" w:eastAsia="黑体"/>
          <w:bCs/>
          <w:sz w:val="36"/>
          <w:szCs w:val="36"/>
        </w:rPr>
        <w:t>第一部分</w:t>
      </w:r>
      <w:r>
        <w:rPr>
          <w:rFonts w:ascii="黑体" w:hAnsi="黑体" w:eastAsia="黑体"/>
          <w:bCs/>
          <w:sz w:val="36"/>
          <w:szCs w:val="36"/>
          <w:u w:val="none"/>
        </w:rPr>
        <w:t xml:space="preserve"> </w:t>
      </w:r>
      <w:r>
        <w:rPr>
          <w:rFonts w:hint="eastAsia" w:ascii="黑体" w:hAnsi="黑体" w:eastAsia="黑体"/>
          <w:bCs/>
          <w:sz w:val="36"/>
          <w:szCs w:val="36"/>
          <w:u w:val="none"/>
        </w:rPr>
        <w:t>单位</w:t>
      </w:r>
      <w:r>
        <w:rPr>
          <w:rFonts w:hint="eastAsia" w:ascii="黑体" w:hAnsi="黑体" w:eastAsia="黑体"/>
          <w:bCs/>
          <w:sz w:val="36"/>
          <w:szCs w:val="36"/>
        </w:rPr>
        <w:t>概况</w:t>
      </w:r>
    </w:p>
    <w:p>
      <w:pPr>
        <w:pStyle w:val="6"/>
        <w:adjustRightInd w:val="0"/>
        <w:snapToGrid w:val="0"/>
        <w:spacing w:before="0" w:beforeAutospacing="0" w:after="0" w:afterAutospacing="0" w:line="360" w:lineRule="auto"/>
        <w:ind w:firstLine="627" w:firstLineChars="196"/>
        <w:jc w:val="both"/>
      </w:pPr>
      <w:r>
        <w:rPr>
          <w:rFonts w:hint="eastAsia" w:ascii="黑体" w:hAnsi="黑体" w:eastAsia="黑体"/>
          <w:bCs/>
          <w:sz w:val="32"/>
          <w:szCs w:val="32"/>
        </w:rPr>
        <w:t>一、主要职责</w:t>
      </w:r>
    </w:p>
    <w:p>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淮南市谢家集区妇女联合会</w:t>
      </w:r>
      <w:r>
        <w:rPr>
          <w:rFonts w:hint="eastAsia" w:ascii="仿宋" w:hAnsi="仿宋" w:eastAsia="仿宋" w:cs="仿宋"/>
          <w:b w:val="0"/>
          <w:bCs w:val="0"/>
          <w:sz w:val="32"/>
          <w:szCs w:val="32"/>
        </w:rPr>
        <w:t>是</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委领导下的妇女群众团体组织,是</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委、</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政府联系全</w:t>
      </w:r>
      <w:r>
        <w:rPr>
          <w:rFonts w:hint="eastAsia" w:ascii="仿宋" w:hAnsi="仿宋" w:eastAsia="仿宋" w:cs="仿宋"/>
          <w:b w:val="0"/>
          <w:bCs w:val="0"/>
          <w:sz w:val="32"/>
          <w:szCs w:val="32"/>
          <w:lang w:eastAsia="zh-CN"/>
        </w:rPr>
        <w:t>区</w:t>
      </w:r>
      <w:r>
        <w:rPr>
          <w:rFonts w:hint="eastAsia" w:ascii="仿宋" w:hAnsi="仿宋" w:eastAsia="仿宋" w:cs="仿宋"/>
          <w:b w:val="0"/>
          <w:bCs w:val="0"/>
          <w:sz w:val="32"/>
          <w:szCs w:val="32"/>
        </w:rPr>
        <w:t>妇女群众的桥梁和纽带。其主要职责是：</w:t>
      </w:r>
    </w:p>
    <w:p>
      <w:pPr>
        <w:ind w:firstLine="480" w:firstLineChars="150"/>
        <w:rPr>
          <w:rFonts w:hint="eastAsia" w:ascii="仿宋_GB2312" w:eastAsia="仿宋_GB2312"/>
          <w:sz w:val="32"/>
          <w:szCs w:val="32"/>
        </w:rPr>
      </w:pPr>
      <w:r>
        <w:rPr>
          <w:rFonts w:hint="eastAsia" w:ascii="仿宋_GB2312" w:eastAsia="仿宋_GB2312"/>
          <w:sz w:val="32"/>
          <w:szCs w:val="32"/>
        </w:rPr>
        <w:t>（—）坚持正确的政治方向，团结、教育各族各界妇女以及各类妇女组织同党中央在政治上、思想上、行动上保持高度一致。</w:t>
      </w:r>
    </w:p>
    <w:p>
      <w:pPr>
        <w:ind w:firstLine="480" w:firstLineChars="150"/>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大力</w:t>
      </w:r>
      <w:r>
        <w:rPr>
          <w:rFonts w:hint="eastAsia" w:ascii="仿宋_GB2312" w:eastAsia="仿宋_GB2312"/>
          <w:sz w:val="32"/>
          <w:szCs w:val="32"/>
        </w:rPr>
        <w:t>弘扬“自尊、自信、自立、自强”精神，教育、引导妇女群众树立正确的人生观、价值观，全面提高妇女素质</w:t>
      </w:r>
      <w:r>
        <w:rPr>
          <w:rFonts w:hint="eastAsia" w:ascii="仿宋_GB2312" w:eastAsia="仿宋_GB2312"/>
          <w:sz w:val="32"/>
          <w:szCs w:val="32"/>
          <w:lang w:eastAsia="zh-CN"/>
        </w:rPr>
        <w:t>。依法</w:t>
      </w:r>
      <w:r>
        <w:rPr>
          <w:rFonts w:hint="eastAsia" w:ascii="仿宋_GB2312" w:eastAsia="仿宋_GB2312"/>
          <w:sz w:val="32"/>
          <w:szCs w:val="32"/>
        </w:rPr>
        <w:t>维护妇女儿童合法权益</w:t>
      </w:r>
      <w:r>
        <w:rPr>
          <w:rFonts w:hint="eastAsia" w:ascii="仿宋_GB2312" w:eastAsia="仿宋_GB2312"/>
          <w:sz w:val="32"/>
          <w:szCs w:val="32"/>
          <w:lang w:eastAsia="zh-CN"/>
        </w:rPr>
        <w:t>，</w:t>
      </w:r>
      <w:r>
        <w:rPr>
          <w:rFonts w:hint="eastAsia" w:ascii="仿宋_GB2312" w:eastAsia="仿宋_GB2312"/>
          <w:sz w:val="32"/>
          <w:szCs w:val="32"/>
        </w:rPr>
        <w:t>为妇女儿童</w:t>
      </w:r>
      <w:r>
        <w:rPr>
          <w:rFonts w:hint="eastAsia" w:ascii="仿宋_GB2312" w:eastAsia="仿宋_GB2312"/>
          <w:sz w:val="32"/>
          <w:szCs w:val="32"/>
          <w:lang w:eastAsia="zh-CN"/>
        </w:rPr>
        <w:t>服务</w:t>
      </w:r>
      <w:r>
        <w:rPr>
          <w:rFonts w:hint="eastAsia" w:ascii="仿宋_GB2312" w:eastAsia="仿宋_GB2312"/>
          <w:sz w:val="32"/>
          <w:szCs w:val="32"/>
        </w:rPr>
        <w:t>。</w:t>
      </w:r>
    </w:p>
    <w:p>
      <w:pPr>
        <w:ind w:firstLine="480" w:firstLineChars="15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三</w:t>
      </w:r>
      <w:r>
        <w:rPr>
          <w:rFonts w:hint="eastAsia" w:ascii="仿宋_GB2312" w:eastAsia="仿宋_GB2312"/>
          <w:sz w:val="32"/>
          <w:szCs w:val="32"/>
        </w:rPr>
        <w:t>）积极团结、动员、组织广大妇女群众投身</w:t>
      </w:r>
      <w:r>
        <w:rPr>
          <w:rFonts w:hint="eastAsia" w:ascii="仿宋_GB2312" w:eastAsia="仿宋_GB2312"/>
          <w:sz w:val="32"/>
          <w:szCs w:val="32"/>
          <w:lang w:eastAsia="zh-CN"/>
        </w:rPr>
        <w:t>谢家集</w:t>
      </w:r>
      <w:r>
        <w:rPr>
          <w:rFonts w:hint="eastAsia" w:ascii="仿宋_GB2312" w:eastAsia="仿宋_GB2312"/>
          <w:sz w:val="32"/>
          <w:szCs w:val="32"/>
        </w:rPr>
        <w:t>建设，促进</w:t>
      </w:r>
      <w:r>
        <w:rPr>
          <w:rFonts w:hint="eastAsia" w:ascii="仿宋_GB2312" w:eastAsia="仿宋_GB2312"/>
          <w:sz w:val="32"/>
          <w:szCs w:val="32"/>
          <w:lang w:eastAsia="zh-CN"/>
        </w:rPr>
        <w:t>全区</w:t>
      </w:r>
      <w:r>
        <w:rPr>
          <w:rFonts w:hint="eastAsia" w:ascii="仿宋_GB2312" w:eastAsia="仿宋_GB2312"/>
          <w:sz w:val="32"/>
          <w:szCs w:val="32"/>
        </w:rPr>
        <w:t>的经济发展和社会进步，为维护改革发展和稳定大局服务。</w:t>
      </w:r>
    </w:p>
    <w:p>
      <w:pPr>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w:t>
      </w:r>
      <w:r>
        <w:rPr>
          <w:rFonts w:hint="eastAsia" w:ascii="仿宋_GB2312" w:eastAsia="仿宋_GB2312"/>
          <w:sz w:val="32"/>
          <w:szCs w:val="32"/>
          <w:lang w:eastAsia="zh-CN"/>
        </w:rPr>
        <w:t>四）</w:t>
      </w:r>
      <w:r>
        <w:rPr>
          <w:rFonts w:hint="eastAsia" w:ascii="仿宋_GB2312" w:eastAsia="仿宋_GB2312"/>
          <w:sz w:val="32"/>
          <w:szCs w:val="32"/>
        </w:rPr>
        <w:t>承担</w:t>
      </w:r>
      <w:r>
        <w:rPr>
          <w:rFonts w:hint="eastAsia" w:ascii="仿宋_GB2312" w:eastAsia="仿宋_GB2312"/>
          <w:sz w:val="32"/>
          <w:szCs w:val="32"/>
          <w:lang w:eastAsia="zh-CN"/>
        </w:rPr>
        <w:t>区</w:t>
      </w:r>
      <w:r>
        <w:rPr>
          <w:rFonts w:hint="eastAsia" w:ascii="仿宋_GB2312" w:eastAsia="仿宋_GB2312"/>
          <w:sz w:val="32"/>
          <w:szCs w:val="32"/>
        </w:rPr>
        <w:t>政府妇女儿童工作委员会办公室工作。</w:t>
      </w:r>
    </w:p>
    <w:p>
      <w:pPr>
        <w:pStyle w:val="6"/>
        <w:adjustRightInd w:val="0"/>
        <w:snapToGrid w:val="0"/>
        <w:spacing w:before="0" w:beforeAutospacing="0" w:after="0" w:afterAutospacing="0" w:line="360" w:lineRule="auto"/>
        <w:ind w:firstLine="640" w:firstLineChars="200"/>
        <w:jc w:val="both"/>
        <w:rPr>
          <w:rFonts w:ascii="仿宋_GB2312" w:hAnsi="黑体" w:eastAsia="仿宋_GB2312"/>
          <w:bCs/>
          <w:sz w:val="32"/>
          <w:szCs w:val="32"/>
        </w:rPr>
      </w:pP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）承办</w:t>
      </w:r>
      <w:r>
        <w:rPr>
          <w:rFonts w:hint="eastAsia" w:ascii="仿宋_GB2312" w:eastAsia="仿宋_GB2312"/>
          <w:sz w:val="32"/>
          <w:szCs w:val="32"/>
          <w:lang w:eastAsia="zh-CN"/>
        </w:rPr>
        <w:t>区</w:t>
      </w:r>
      <w:r>
        <w:rPr>
          <w:rFonts w:hint="eastAsia" w:ascii="仿宋_GB2312" w:eastAsia="仿宋_GB2312"/>
          <w:sz w:val="32"/>
          <w:szCs w:val="32"/>
        </w:rPr>
        <w:t>委、</w:t>
      </w:r>
      <w:r>
        <w:rPr>
          <w:rFonts w:hint="eastAsia" w:ascii="仿宋_GB2312" w:eastAsia="仿宋_GB2312"/>
          <w:sz w:val="32"/>
          <w:szCs w:val="32"/>
          <w:lang w:eastAsia="zh-CN"/>
        </w:rPr>
        <w:t>区</w:t>
      </w:r>
      <w:r>
        <w:rPr>
          <w:rFonts w:hint="eastAsia" w:ascii="仿宋_GB2312" w:eastAsia="仿宋_GB2312"/>
          <w:sz w:val="32"/>
          <w:szCs w:val="32"/>
        </w:rPr>
        <w:t>政府交办的有关工作。</w:t>
      </w:r>
    </w:p>
    <w:p>
      <w:pPr>
        <w:pStyle w:val="6"/>
        <w:numPr>
          <w:ilvl w:val="0"/>
          <w:numId w:val="1"/>
        </w:numPr>
        <w:adjustRightInd w:val="0"/>
        <w:snapToGrid w:val="0"/>
        <w:spacing w:before="0" w:beforeAutospacing="0" w:after="0" w:afterAutospacing="0" w:line="360" w:lineRule="auto"/>
        <w:ind w:firstLine="627" w:firstLineChars="196"/>
        <w:jc w:val="both"/>
        <w:rPr>
          <w:rFonts w:ascii="黑体" w:hAnsi="黑体" w:eastAsia="黑体"/>
          <w:bCs/>
          <w:sz w:val="32"/>
          <w:szCs w:val="32"/>
        </w:rPr>
      </w:pPr>
      <w:r>
        <w:rPr>
          <w:rFonts w:hint="eastAsia" w:ascii="黑体" w:hAnsi="黑体" w:eastAsia="黑体"/>
          <w:bCs/>
          <w:sz w:val="32"/>
          <w:szCs w:val="32"/>
          <w:u w:val="none"/>
        </w:rPr>
        <w:t>单位</w:t>
      </w:r>
      <w:r>
        <w:rPr>
          <w:rFonts w:hint="eastAsia" w:ascii="黑体" w:hAnsi="黑体" w:eastAsia="黑体"/>
          <w:bCs/>
          <w:sz w:val="32"/>
          <w:szCs w:val="32"/>
        </w:rPr>
        <w:t>预算构成</w:t>
      </w:r>
    </w:p>
    <w:p>
      <w:pPr>
        <w:pStyle w:val="6"/>
        <w:adjustRightInd w:val="0"/>
        <w:snapToGrid w:val="0"/>
        <w:spacing w:before="0" w:beforeAutospacing="0" w:after="0" w:afterAutospacing="0" w:line="360" w:lineRule="auto"/>
        <w:ind w:firstLine="627" w:firstLineChars="196"/>
        <w:jc w:val="both"/>
        <w:rPr>
          <w:rFonts w:ascii="仿宋_GB2312" w:hAnsi="仿宋" w:eastAsia="仿宋_GB2312"/>
          <w:sz w:val="32"/>
          <w:szCs w:val="32"/>
        </w:rPr>
      </w:pPr>
      <w:r>
        <w:rPr>
          <w:rFonts w:hint="eastAsia" w:ascii="仿宋_GB2312" w:hAnsi="仿宋" w:eastAsia="仿宋_GB2312"/>
          <w:sz w:val="32"/>
          <w:szCs w:val="32"/>
          <w:u w:val="none"/>
          <w:lang w:val="en-US" w:eastAsia="zh-CN"/>
        </w:rPr>
        <w:t>单位</w:t>
      </w:r>
      <w:r>
        <w:rPr>
          <w:rFonts w:hint="eastAsia" w:ascii="仿宋_GB2312" w:hAnsi="仿宋" w:eastAsia="仿宋_GB2312"/>
          <w:sz w:val="32"/>
          <w:szCs w:val="32"/>
          <w:u w:val="none"/>
        </w:rPr>
        <w:t>预算构成：</w:t>
      </w:r>
      <w:r>
        <w:rPr>
          <w:rFonts w:hint="eastAsia" w:ascii="仿宋" w:hAnsi="仿宋" w:eastAsia="仿宋"/>
          <w:sz w:val="32"/>
          <w:szCs w:val="32"/>
        </w:rPr>
        <w:t>从预算单位构成看，</w:t>
      </w:r>
      <w:r>
        <w:rPr>
          <w:rFonts w:hint="eastAsia" w:ascii="仿宋_GB2312" w:hAnsi="仿宋" w:eastAsia="仿宋_GB2312" w:cs="仿宋"/>
          <w:bCs/>
          <w:sz w:val="32"/>
          <w:szCs w:val="32"/>
        </w:rPr>
        <w:t>淮南市</w:t>
      </w:r>
      <w:r>
        <w:rPr>
          <w:rFonts w:hint="eastAsia" w:ascii="仿宋_GB2312" w:hAnsi="仿宋" w:eastAsia="仿宋_GB2312" w:cs="仿宋"/>
          <w:bCs/>
          <w:sz w:val="32"/>
          <w:szCs w:val="32"/>
          <w:lang w:eastAsia="zh-CN"/>
        </w:rPr>
        <w:t>谢家集区妇女联合会</w:t>
      </w:r>
      <w:r>
        <w:rPr>
          <w:rFonts w:hint="eastAsia" w:ascii="仿宋_GB2312" w:hAnsi="仿宋" w:eastAsia="仿宋_GB2312"/>
          <w:sz w:val="32"/>
          <w:szCs w:val="32"/>
        </w:rPr>
        <w:t>20</w:t>
      </w:r>
      <w:r>
        <w:rPr>
          <w:rFonts w:hint="eastAsia" w:ascii="仿宋_GB2312" w:hAnsi="仿宋" w:eastAsia="仿宋_GB2312"/>
          <w:sz w:val="32"/>
          <w:szCs w:val="32"/>
          <w:lang w:val="en-US" w:eastAsia="zh-CN"/>
        </w:rPr>
        <w:t>24</w:t>
      </w:r>
      <w:r>
        <w:rPr>
          <w:rFonts w:hint="eastAsia" w:ascii="仿宋_GB2312" w:hAnsi="仿宋" w:eastAsia="仿宋_GB2312"/>
          <w:sz w:val="32"/>
          <w:szCs w:val="32"/>
        </w:rPr>
        <w:t>年度部门预算</w:t>
      </w:r>
      <w:r>
        <w:rPr>
          <w:rFonts w:hint="eastAsia" w:ascii="仿宋_GB2312" w:hAnsi="仿宋" w:eastAsia="仿宋_GB2312"/>
          <w:sz w:val="32"/>
          <w:szCs w:val="32"/>
          <w:lang w:eastAsia="zh-CN"/>
        </w:rPr>
        <w:t>包括本级预算</w:t>
      </w:r>
      <w:r>
        <w:rPr>
          <w:rFonts w:hint="eastAsia" w:ascii="仿宋_GB2312" w:hAnsi="仿宋" w:eastAsia="仿宋_GB2312"/>
          <w:sz w:val="32"/>
          <w:szCs w:val="32"/>
        </w:rPr>
        <w:t>，纳入部门预算编制范围的单位共</w:t>
      </w:r>
      <w:r>
        <w:rPr>
          <w:rFonts w:hint="eastAsia" w:ascii="仿宋_GB2312" w:hAnsi="仿宋" w:eastAsia="仿宋_GB2312"/>
          <w:sz w:val="32"/>
          <w:szCs w:val="32"/>
          <w:lang w:val="en-US" w:eastAsia="zh-CN"/>
        </w:rPr>
        <w:t>1</w:t>
      </w:r>
      <w:r>
        <w:rPr>
          <w:rFonts w:hint="eastAsia" w:ascii="仿宋_GB2312" w:hAnsi="仿宋" w:eastAsia="仿宋_GB2312"/>
          <w:sz w:val="32"/>
          <w:szCs w:val="32"/>
        </w:rPr>
        <w:t>个</w:t>
      </w:r>
      <w:r>
        <w:rPr>
          <w:rFonts w:hint="eastAsia" w:ascii="仿宋_GB2312" w:hAnsi="仿宋" w:eastAsia="仿宋_GB2312"/>
          <w:sz w:val="32"/>
          <w:szCs w:val="32"/>
          <w:lang w:eastAsia="zh-CN"/>
        </w:rPr>
        <w:t>，</w:t>
      </w:r>
      <w:r>
        <w:rPr>
          <w:rFonts w:hint="eastAsia" w:ascii="仿宋" w:hAnsi="仿宋" w:eastAsia="仿宋"/>
          <w:sz w:val="32"/>
          <w:szCs w:val="32"/>
        </w:rPr>
        <w:t>具体情况见下表。</w:t>
      </w:r>
    </w:p>
    <w:tbl>
      <w:tblPr>
        <w:tblStyle w:val="7"/>
        <w:tblW w:w="9000" w:type="dxa"/>
        <w:tblInd w:w="288" w:type="dxa"/>
        <w:tblLayout w:type="fixed"/>
        <w:tblCellMar>
          <w:top w:w="0" w:type="dxa"/>
          <w:left w:w="0" w:type="dxa"/>
          <w:bottom w:w="0" w:type="dxa"/>
          <w:right w:w="0" w:type="dxa"/>
        </w:tblCellMar>
      </w:tblPr>
      <w:tblGrid>
        <w:gridCol w:w="900"/>
        <w:gridCol w:w="3600"/>
        <w:gridCol w:w="4500"/>
      </w:tblGrid>
      <w:tr>
        <w:tblPrEx>
          <w:tblCellMar>
            <w:top w:w="0" w:type="dxa"/>
            <w:left w:w="0" w:type="dxa"/>
            <w:bottom w:w="0" w:type="dxa"/>
            <w:right w:w="0" w:type="dxa"/>
          </w:tblCellMar>
        </w:tblPrEx>
        <w:trPr>
          <w:trHeight w:val="397" w:hRule="exact"/>
        </w:trPr>
        <w:tc>
          <w:tcPr>
            <w:tcW w:w="90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序号</w:t>
            </w:r>
          </w:p>
        </w:tc>
        <w:tc>
          <w:tcPr>
            <w:tcW w:w="360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单位名称</w:t>
            </w:r>
          </w:p>
        </w:tc>
        <w:tc>
          <w:tcPr>
            <w:tcW w:w="4500" w:type="dxa"/>
            <w:tcBorders>
              <w:top w:val="single" w:color="auto" w:sz="8" w:space="0"/>
              <w:left w:val="nil"/>
              <w:bottom w:val="single" w:color="auto" w:sz="8" w:space="0"/>
              <w:right w:val="single" w:color="auto" w:sz="8" w:space="0"/>
            </w:tcBorders>
            <w:shd w:val="clear" w:color="auto" w:fill="FFFFFF"/>
          </w:tcPr>
          <w:p>
            <w:pPr>
              <w:adjustRightInd w:val="0"/>
              <w:snapToGrid w:val="0"/>
              <w:spacing w:line="360" w:lineRule="auto"/>
              <w:jc w:val="center"/>
              <w:rPr>
                <w:rFonts w:ascii="仿宋_GB2312" w:hAnsi="宋体" w:eastAsia="仿宋_GB2312"/>
                <w:sz w:val="24"/>
              </w:rPr>
            </w:pPr>
            <w:r>
              <w:rPr>
                <w:rFonts w:hint="eastAsia" w:ascii="仿宋_GB2312" w:hAnsi="宋体" w:eastAsia="仿宋_GB2312"/>
                <w:sz w:val="24"/>
              </w:rPr>
              <w:t>单位性质</w:t>
            </w:r>
          </w:p>
        </w:tc>
      </w:tr>
      <w:tr>
        <w:tblPrEx>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cs="宋体"/>
                <w:sz w:val="24"/>
              </w:rPr>
            </w:pPr>
            <w:r>
              <w:rPr>
                <w:rFonts w:ascii="仿宋_GB2312" w:hAnsi="宋体" w:eastAsia="仿宋_GB2312"/>
                <w:sz w:val="24"/>
              </w:rPr>
              <w:t>1</w:t>
            </w:r>
          </w:p>
        </w:tc>
        <w:tc>
          <w:tcPr>
            <w:tcW w:w="36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rPr>
                <w:rFonts w:ascii="仿宋_GB2312" w:hAnsi="宋体" w:eastAsia="仿宋_GB2312"/>
                <w:sz w:val="24"/>
                <w:u w:val="single"/>
              </w:rPr>
            </w:pPr>
            <w:r>
              <w:rPr>
                <w:rFonts w:hint="eastAsia" w:ascii="仿宋_GB2312" w:hAnsi="仿宋" w:eastAsia="仿宋_GB2312" w:cs="仿宋"/>
                <w:bCs/>
                <w:sz w:val="24"/>
              </w:rPr>
              <w:t>淮南市</w:t>
            </w:r>
            <w:r>
              <w:rPr>
                <w:rFonts w:hint="eastAsia" w:ascii="仿宋_GB2312" w:hAnsi="仿宋" w:eastAsia="仿宋_GB2312" w:cs="仿宋"/>
                <w:bCs/>
                <w:sz w:val="24"/>
                <w:lang w:eastAsia="zh-CN"/>
              </w:rPr>
              <w:t>谢家集区妇女联合会</w:t>
            </w:r>
          </w:p>
        </w:tc>
        <w:tc>
          <w:tcPr>
            <w:tcW w:w="4500" w:type="dxa"/>
            <w:tcBorders>
              <w:top w:val="nil"/>
              <w:left w:val="nil"/>
              <w:bottom w:val="single" w:color="auto" w:sz="8" w:space="0"/>
              <w:right w:val="single" w:color="auto" w:sz="8" w:space="0"/>
            </w:tcBorders>
            <w:shd w:val="clear" w:color="auto" w:fill="FFFFFF"/>
          </w:tcPr>
          <w:p>
            <w:pPr>
              <w:adjustRightInd w:val="0"/>
              <w:snapToGrid w:val="0"/>
              <w:spacing w:line="360" w:lineRule="auto"/>
              <w:rPr>
                <w:rFonts w:ascii="仿宋_GB2312" w:hAnsi="宋体" w:eastAsia="仿宋_GB2312"/>
                <w:sz w:val="24"/>
                <w:u w:val="single"/>
              </w:rPr>
            </w:pPr>
            <w:r>
              <w:rPr>
                <w:rFonts w:hint="eastAsia" w:ascii="仿宋_GB2312" w:hAnsi="仿宋" w:eastAsia="仿宋_GB2312" w:cs="仿宋"/>
                <w:bCs/>
                <w:sz w:val="24"/>
              </w:rPr>
              <w:t>行政单位</w:t>
            </w:r>
          </w:p>
        </w:tc>
      </w:tr>
      <w:tr>
        <w:tblPrEx>
          <w:tblCellMar>
            <w:top w:w="0" w:type="dxa"/>
            <w:left w:w="0" w:type="dxa"/>
            <w:bottom w:w="0" w:type="dxa"/>
            <w:right w:w="0" w:type="dxa"/>
          </w:tblCellMar>
        </w:tblPrEx>
        <w:trPr>
          <w:trHeight w:val="397" w:hRule="exact"/>
        </w:trPr>
        <w:tc>
          <w:tcPr>
            <w:tcW w:w="90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jc w:val="center"/>
              <w:rPr>
                <w:rFonts w:ascii="仿宋_GB2312" w:hAnsi="宋体" w:eastAsia="仿宋_GB2312" w:cs="宋体"/>
                <w:sz w:val="24"/>
              </w:rPr>
            </w:pPr>
          </w:p>
        </w:tc>
        <w:tc>
          <w:tcPr>
            <w:tcW w:w="36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360" w:lineRule="auto"/>
              <w:rPr>
                <w:rFonts w:ascii="仿宋_GB2312" w:hAnsi="宋体" w:eastAsia="仿宋_GB2312"/>
                <w:sz w:val="24"/>
                <w:u w:val="single"/>
              </w:rPr>
            </w:pPr>
          </w:p>
        </w:tc>
        <w:tc>
          <w:tcPr>
            <w:tcW w:w="4500" w:type="dxa"/>
            <w:tcBorders>
              <w:top w:val="nil"/>
              <w:left w:val="nil"/>
              <w:bottom w:val="single" w:color="auto" w:sz="8" w:space="0"/>
              <w:right w:val="single" w:color="auto" w:sz="8" w:space="0"/>
            </w:tcBorders>
            <w:shd w:val="clear" w:color="auto" w:fill="FFFFFF"/>
          </w:tcPr>
          <w:p>
            <w:pPr>
              <w:adjustRightInd w:val="0"/>
              <w:snapToGrid w:val="0"/>
              <w:spacing w:line="360" w:lineRule="auto"/>
              <w:rPr>
                <w:rFonts w:ascii="仿宋_GB2312" w:hAnsi="宋体" w:eastAsia="仿宋_GB2312"/>
                <w:sz w:val="24"/>
                <w:u w:val="single"/>
              </w:rPr>
            </w:pPr>
          </w:p>
        </w:tc>
      </w:tr>
    </w:tbl>
    <w:p>
      <w:pPr>
        <w:pStyle w:val="6"/>
        <w:adjustRightInd w:val="0"/>
        <w:snapToGrid w:val="0"/>
        <w:spacing w:before="0" w:beforeAutospacing="0" w:after="0" w:afterAutospacing="0" w:line="600" w:lineRule="exact"/>
        <w:ind w:firstLine="480" w:firstLineChars="150"/>
        <w:outlineLvl w:val="0"/>
        <w:rPr>
          <w:rFonts w:ascii="楷体_GB2312" w:hAnsi="仿宋" w:eastAsia="楷体_GB2312" w:cs="Times New Roman"/>
          <w:color w:val="FF0000"/>
          <w:kern w:val="2"/>
          <w:sz w:val="32"/>
          <w:szCs w:val="32"/>
        </w:rPr>
      </w:pPr>
      <w:r>
        <w:rPr>
          <w:rFonts w:hint="eastAsia" w:ascii="仿宋_GB2312" w:hAnsi="仿宋" w:eastAsia="仿宋_GB2312"/>
          <w:sz w:val="32"/>
          <w:szCs w:val="32"/>
          <w:u w:val="none"/>
        </w:rPr>
        <w:t>（部门预算构成：）</w:t>
      </w:r>
      <w:r>
        <w:rPr>
          <w:rFonts w:hint="eastAsia" w:ascii="仿宋_GB2312" w:hAnsi="仿宋" w:eastAsia="仿宋_GB2312"/>
          <w:sz w:val="32"/>
          <w:szCs w:val="32"/>
        </w:rPr>
        <w:t>从预算单位构成看，</w:t>
      </w:r>
      <w:r>
        <w:rPr>
          <w:rFonts w:hint="eastAsia" w:ascii="仿宋_GB2312" w:hAnsi="仿宋" w:eastAsia="仿宋_GB2312"/>
          <w:sz w:val="32"/>
          <w:szCs w:val="32"/>
          <w:lang w:val="en-US" w:eastAsia="zh-CN"/>
        </w:rPr>
        <w:t>淮南市</w:t>
      </w:r>
      <w:r>
        <w:rPr>
          <w:rFonts w:hint="eastAsia" w:ascii="仿宋_GB2312" w:hAnsi="仿宋" w:eastAsia="仿宋_GB2312" w:cs="仿宋"/>
          <w:bCs/>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年度部门预算仅包括本级预算，无其他下属单位预算。</w:t>
      </w:r>
    </w:p>
    <w:p>
      <w:pPr>
        <w:pStyle w:val="6"/>
        <w:adjustRightInd w:val="0"/>
        <w:snapToGrid w:val="0"/>
        <w:spacing w:before="0" w:beforeAutospacing="0" w:after="0" w:afterAutospacing="0" w:line="600" w:lineRule="exact"/>
        <w:ind w:firstLine="480" w:firstLineChars="150"/>
        <w:outlineLvl w:val="0"/>
        <w:rPr>
          <w:rFonts w:ascii="黑体" w:hAnsi="黑体" w:eastAsia="黑体"/>
          <w:bCs/>
          <w:sz w:val="32"/>
          <w:szCs w:val="32"/>
        </w:rPr>
      </w:pPr>
      <w:r>
        <w:rPr>
          <w:rFonts w:hint="eastAsia" w:ascii="黑体" w:hAnsi="黑体" w:eastAsia="黑体"/>
          <w:bCs/>
          <w:sz w:val="32"/>
          <w:szCs w:val="32"/>
        </w:rPr>
        <w:t>三、</w:t>
      </w:r>
      <w:r>
        <w:rPr>
          <w:rFonts w:ascii="黑体" w:hAnsi="黑体" w:eastAsia="黑体"/>
          <w:bCs/>
          <w:sz w:val="32"/>
          <w:szCs w:val="32"/>
        </w:rPr>
        <w:t>202</w:t>
      </w:r>
      <w:r>
        <w:rPr>
          <w:rFonts w:hint="eastAsia" w:ascii="黑体" w:hAnsi="黑体" w:eastAsia="黑体"/>
          <w:bCs/>
          <w:sz w:val="32"/>
          <w:szCs w:val="32"/>
          <w:lang w:val="en-US" w:eastAsia="zh-CN"/>
        </w:rPr>
        <w:t>4</w:t>
      </w:r>
      <w:r>
        <w:rPr>
          <w:rFonts w:hint="eastAsia" w:ascii="黑体" w:hAnsi="黑体" w:eastAsia="黑体"/>
          <w:bCs/>
          <w:sz w:val="32"/>
          <w:szCs w:val="32"/>
        </w:rPr>
        <w:t>年度主要工作任务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一是强化思想政治引领，实施巾帼心向党行动：</w:t>
      </w:r>
      <w:r>
        <w:rPr>
          <w:rFonts w:hint="default" w:ascii="仿宋" w:hAnsi="仿宋" w:eastAsia="仿宋" w:cs="仿宋"/>
          <w:sz w:val="32"/>
          <w:szCs w:val="32"/>
          <w:lang w:val="en-US" w:eastAsia="zh-CN"/>
        </w:rPr>
        <w:t>继续学习领会习近平新时代中国特色社会主义思想，认真贯彻全国妇女十三次及省妇女十四次妇代会精神，结合实际，抓好贯彻落实。</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二是扶持创业就业，实施巾帼建功行动：</w:t>
      </w:r>
      <w:r>
        <w:rPr>
          <w:rFonts w:hint="default" w:ascii="仿宋" w:hAnsi="仿宋" w:eastAsia="仿宋" w:cs="仿宋"/>
          <w:sz w:val="32"/>
          <w:szCs w:val="32"/>
          <w:lang w:val="en-US" w:eastAsia="zh-CN"/>
        </w:rPr>
        <w:t>开展城乡妇女实用技术培训，推动妇女发展、激励岗位建功、助力乡村振兴。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三是践行最美风尚，实施巾帼文明行动：</w:t>
      </w:r>
      <w:r>
        <w:rPr>
          <w:rFonts w:hint="default" w:ascii="仿宋" w:hAnsi="仿宋" w:eastAsia="仿宋" w:cs="仿宋"/>
          <w:sz w:val="32"/>
          <w:szCs w:val="32"/>
          <w:lang w:val="en-US" w:eastAsia="zh-CN"/>
        </w:rPr>
        <w:t>抓住节点，搭建宣传平台；立足家庭，推进文明创建；主动作为，拓展志愿服务。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四是立足权益保障，实施巾帼维权行动：</w:t>
      </w:r>
      <w:r>
        <w:rPr>
          <w:rFonts w:hint="default" w:ascii="仿宋" w:hAnsi="仿宋" w:eastAsia="仿宋" w:cs="仿宋"/>
          <w:sz w:val="32"/>
          <w:szCs w:val="32"/>
          <w:lang w:val="en-US" w:eastAsia="zh-CN"/>
        </w:rPr>
        <w:t>加强《妇女权益保障法》等法律法规的学习宣传；推动实施妇女儿童（2021—2030）发展纲要；强化对“平安家庭”创建的组织领导。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五是致力改善民生，实施巾帼关爱行动：</w:t>
      </w:r>
      <w:r>
        <w:rPr>
          <w:rFonts w:hint="default" w:ascii="仿宋" w:hAnsi="仿宋" w:eastAsia="仿宋" w:cs="仿宋"/>
          <w:sz w:val="32"/>
          <w:szCs w:val="32"/>
          <w:lang w:val="en-US" w:eastAsia="zh-CN"/>
        </w:rPr>
        <w:t>凝聚链接更多社会爱心力量，多措并举为困境妇女儿童排忧解难，共建共享美好生活。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六是汇集巾帼之力，助力乡村振兴：</w:t>
      </w:r>
      <w:r>
        <w:rPr>
          <w:rFonts w:hint="default" w:ascii="仿宋" w:hAnsi="仿宋" w:eastAsia="仿宋" w:cs="仿宋"/>
          <w:sz w:val="32"/>
          <w:szCs w:val="32"/>
          <w:lang w:val="en-US" w:eastAsia="zh-CN"/>
        </w:rPr>
        <w:t>持续开展美丽家园、垃圾分类、移风易俗等创建活动，引导农村妇女积极参与农村人居环境卫生整治，共建美好乡村。</w:t>
      </w:r>
    </w:p>
    <w:p>
      <w:pPr>
        <w:pStyle w:val="2"/>
        <w:rPr>
          <w:rFonts w:hint="eastAsia"/>
          <w:lang w:val="en-US" w:eastAsia="zh-CN"/>
        </w:rPr>
      </w:pPr>
      <w:r>
        <w:rPr>
          <w:rFonts w:hint="eastAsia" w:ascii="楷体" w:hAnsi="楷体" w:eastAsia="楷体" w:cs="楷体"/>
          <w:sz w:val="32"/>
          <w:szCs w:val="32"/>
          <w:lang w:val="en-US" w:eastAsia="zh-CN"/>
        </w:rPr>
        <w:t>七是加强自身建设，实施强基固本工程：</w:t>
      </w:r>
      <w:r>
        <w:rPr>
          <w:rFonts w:hint="default" w:ascii="仿宋" w:hAnsi="仿宋" w:eastAsia="仿宋" w:cs="仿宋"/>
          <w:sz w:val="32"/>
          <w:szCs w:val="32"/>
          <w:lang w:val="en-US" w:eastAsia="zh-CN"/>
        </w:rPr>
        <w:t>进一步织密妇联组织网络</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xml:space="preserve">夯实组织基础；强化素质，提升妇干能力。   </w:t>
      </w:r>
    </w:p>
    <w:p>
      <w:pPr>
        <w:pStyle w:val="6"/>
        <w:numPr>
          <w:ilvl w:val="0"/>
          <w:numId w:val="2"/>
        </w:numPr>
        <w:adjustRightInd w:val="0"/>
        <w:snapToGrid w:val="0"/>
        <w:spacing w:before="0" w:beforeAutospacing="0" w:after="0" w:afterAutospacing="0" w:line="360" w:lineRule="auto"/>
        <w:jc w:val="center"/>
        <w:rPr>
          <w:rFonts w:hint="eastAsia" w:ascii="黑体" w:hAnsi="黑体" w:eastAsia="黑体"/>
          <w:bCs/>
          <w:sz w:val="36"/>
          <w:szCs w:val="36"/>
        </w:rPr>
      </w:pPr>
      <w:r>
        <w:rPr>
          <w:rFonts w:ascii="黑体" w:hAnsi="黑体" w:eastAsia="黑体"/>
          <w:bCs/>
          <w:sz w:val="36"/>
          <w:szCs w:val="36"/>
        </w:rPr>
        <w:t>202</w:t>
      </w:r>
      <w:r>
        <w:rPr>
          <w:rFonts w:hint="eastAsia" w:ascii="黑体" w:hAnsi="黑体" w:eastAsia="黑体"/>
          <w:bCs/>
          <w:sz w:val="36"/>
          <w:szCs w:val="36"/>
          <w:lang w:val="en-US" w:eastAsia="zh-CN"/>
        </w:rPr>
        <w:t>4</w:t>
      </w:r>
      <w:r>
        <w:rPr>
          <w:rFonts w:hint="eastAsia" w:ascii="黑体" w:hAnsi="黑体" w:eastAsia="黑体"/>
          <w:bCs/>
          <w:sz w:val="36"/>
          <w:szCs w:val="36"/>
        </w:rPr>
        <w:t>年</w:t>
      </w:r>
      <w:r>
        <w:rPr>
          <w:rFonts w:hint="eastAsia" w:ascii="黑体" w:hAnsi="黑体" w:eastAsia="黑体"/>
          <w:bCs/>
          <w:sz w:val="36"/>
          <w:szCs w:val="36"/>
          <w:u w:val="none"/>
        </w:rPr>
        <w:t>单位</w:t>
      </w:r>
      <w:r>
        <w:rPr>
          <w:rFonts w:hint="eastAsia" w:ascii="黑体" w:hAnsi="黑体" w:eastAsia="黑体"/>
          <w:bCs/>
          <w:sz w:val="36"/>
          <w:szCs w:val="36"/>
        </w:rPr>
        <w:t>预算表</w:t>
      </w:r>
    </w:p>
    <w:p>
      <w:pPr>
        <w:widowControl/>
        <w:adjustRightInd w:val="0"/>
        <w:snapToGrid w:val="0"/>
        <w:spacing w:before="0" w:beforeAutospacing="0" w:after="0" w:afterAutospacing="0" w:line="360" w:lineRule="auto"/>
        <w:jc w:val="both"/>
        <w:rPr>
          <w:rFonts w:hint="eastAsia" w:ascii="仿宋" w:hAnsi="仿宋" w:eastAsia="仿宋"/>
          <w:bCs/>
          <w:sz w:val="32"/>
          <w:szCs w:val="32"/>
        </w:rPr>
      </w:pPr>
      <w:r>
        <w:rPr>
          <w:rFonts w:hint="eastAsia" w:ascii="仿宋" w:hAnsi="仿宋" w:eastAsia="仿宋" w:cs="宋体"/>
          <w:bCs/>
          <w:kern w:val="0"/>
          <w:sz w:val="32"/>
          <w:szCs w:val="32"/>
          <w:lang w:val="en-US" w:eastAsia="zh-CN" w:bidi="ar-SA"/>
        </w:rPr>
        <w:t>2024年部门预算表由11张表格构成，</w:t>
      </w:r>
      <w:r>
        <w:rPr>
          <w:rFonts w:hint="eastAsia" w:ascii="仿宋" w:hAnsi="仿宋" w:eastAsia="仿宋"/>
          <w:bCs/>
          <w:sz w:val="32"/>
          <w:szCs w:val="32"/>
        </w:rPr>
        <w:t>具体表格内容见附表。</w:t>
      </w:r>
    </w:p>
    <w:p>
      <w:pPr>
        <w:pStyle w:val="2"/>
        <w:rPr>
          <w:rFonts w:hint="eastAsia" w:ascii="仿宋" w:hAnsi="仿宋" w:eastAsia="仿宋"/>
          <w:bCs/>
          <w:sz w:val="32"/>
          <w:szCs w:val="32"/>
        </w:r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公开表1</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textAlignment w:val="auto"/>
        <w:rPr>
          <w:rFonts w:hint="default" w:ascii="TimesNewRoman" w:hAnsi="TimesNewRoman" w:eastAsia="华文中宋" w:cs="TimesNewRoman"/>
          <w:b/>
          <w:bCs/>
          <w:kern w:val="0"/>
          <w:szCs w:val="32"/>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 xml:space="preserve">      </w:t>
      </w: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淮南市</w:t>
      </w: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妇女联合会</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年收支总表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422"/>
        <w:gridCol w:w="998"/>
        <w:gridCol w:w="3184"/>
        <w:gridCol w:w="8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42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收            入</w:t>
            </w:r>
          </w:p>
        </w:tc>
        <w:tc>
          <w:tcPr>
            <w:tcW w:w="40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收 入 项 目</w:t>
            </w:r>
          </w:p>
        </w:tc>
        <w:tc>
          <w:tcPr>
            <w:tcW w:w="998"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预算数</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支出功能分类科目</w:t>
            </w:r>
          </w:p>
        </w:tc>
        <w:tc>
          <w:tcPr>
            <w:tcW w:w="856"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一、一般公共预算拨款收入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41.5</w:t>
            </w: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一、一般公共服务支出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35.5</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二、外交支出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三、国防支出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二、政府性基金预算拨款收入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四、公共安全支出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五、教育支出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六、科学技术支出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rPr>
                <w:rFonts w:hint="default" w:ascii="TimesNewRoman" w:hAnsi="TimesNewRoman" w:cs="TimesNewRoman"/>
                <w:kern w:val="0"/>
                <w:sz w:val="18"/>
                <w:szCs w:val="18"/>
              </w:rPr>
            </w:pPr>
            <w:r>
              <w:rPr>
                <w:rFonts w:hint="default" w:ascii="TimesNewRoman" w:hAnsi="TimesNewRoman" w:cs="TimesNewRoman"/>
                <w:kern w:val="0"/>
                <w:sz w:val="20"/>
              </w:rPr>
              <w:t>三、国有资本经营预算拨款收入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七、文化旅游体育与传媒支出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其中：中央转移支付收入</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八、社会保障和就业支出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2.6</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九、卫生健康支出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1.1</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四、财政专户管理资金收入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十、节能环保支出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十一、城乡社区支出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五、单位资金收入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十二、农林水支出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其中：事业收入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十三、交通运输支出</w:t>
            </w:r>
          </w:p>
        </w:tc>
        <w:tc>
          <w:tcPr>
            <w:tcW w:w="856"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事业单位经营收入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十四、资源勘探工业信息等支出</w:t>
            </w:r>
          </w:p>
        </w:tc>
        <w:tc>
          <w:tcPr>
            <w:tcW w:w="856"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上级补助收入</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十五、商业服务业等支出</w:t>
            </w:r>
          </w:p>
        </w:tc>
        <w:tc>
          <w:tcPr>
            <w:tcW w:w="85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附属单位上缴收入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十六、金融支出</w:t>
            </w:r>
          </w:p>
        </w:tc>
        <w:tc>
          <w:tcPr>
            <w:tcW w:w="8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42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kern w:val="0"/>
                <w:sz w:val="20"/>
              </w:rPr>
              <w:t>收            入</w:t>
            </w:r>
          </w:p>
        </w:tc>
        <w:tc>
          <w:tcPr>
            <w:tcW w:w="40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其他收入</w:t>
            </w:r>
          </w:p>
        </w:tc>
        <w:tc>
          <w:tcPr>
            <w:tcW w:w="9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十七、援助其他地区支出</w:t>
            </w:r>
          </w:p>
        </w:tc>
        <w:tc>
          <w:tcPr>
            <w:tcW w:w="8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十八、自然资源海洋气象等支出</w:t>
            </w:r>
          </w:p>
        </w:tc>
        <w:tc>
          <w:tcPr>
            <w:tcW w:w="856"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十九、住房保障支出</w:t>
            </w:r>
          </w:p>
        </w:tc>
        <w:tc>
          <w:tcPr>
            <w:tcW w:w="856"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2.4</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二十、粮油物资储备支出</w:t>
            </w:r>
          </w:p>
        </w:tc>
        <w:tc>
          <w:tcPr>
            <w:tcW w:w="85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二十一、灾害防治及应急管理支出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二十二、预备费</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二十三、其他支出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二十四、转移性支出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二十五、债务还本支出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二十六、债务付息支出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9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二十七、债务发行费用支出</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本  年  收  入  小  计</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41.5</w:t>
            </w: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本  年  支  出  小  计</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41.5</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default" w:ascii="TimesNewRoman" w:hAnsi="TimesNewRoman" w:cs="TimesNewRoman"/>
                <w:kern w:val="0"/>
                <w:sz w:val="20"/>
              </w:rPr>
              <w:t>上年</w:t>
            </w:r>
            <w:r>
              <w:rPr>
                <w:rFonts w:hint="eastAsia" w:ascii="TimesNewRoman" w:hAnsi="TimesNewRoman" w:cs="TimesNewRoman"/>
                <w:kern w:val="0"/>
                <w:sz w:val="20"/>
                <w:lang w:eastAsia="zh-CN"/>
              </w:rPr>
              <w:t>结转数</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r>
              <w:rPr>
                <w:rFonts w:hint="eastAsia" w:ascii="TimesNewRoman" w:hAnsi="TimesNewRoman" w:cs="TimesNewRoman"/>
                <w:kern w:val="0"/>
                <w:sz w:val="20"/>
                <w:lang w:eastAsia="zh-CN"/>
              </w:rPr>
              <w:t>结转下年</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一般公共预算</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一般公共预算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政府性基金预算</w:t>
            </w:r>
          </w:p>
        </w:tc>
        <w:tc>
          <w:tcPr>
            <w:tcW w:w="99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政府性基金预算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国有资本经营预算</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国有资本经营预算</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财政专户管理资金</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财政专户管理资金</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单位资金</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18"/>
                <w:szCs w:val="18"/>
              </w:rPr>
            </w:pPr>
            <w:r>
              <w:rPr>
                <w:rFonts w:hint="default" w:ascii="TimesNewRoman" w:hAnsi="TimesNewRoman" w:cs="TimesNewRoman"/>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xml:space="preserve">    单位资金</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3422"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   总   计</w:t>
            </w:r>
          </w:p>
        </w:tc>
        <w:tc>
          <w:tcPr>
            <w:tcW w:w="998"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18"/>
                <w:szCs w:val="18"/>
              </w:rPr>
            </w:pPr>
            <w:r>
              <w:rPr>
                <w:rFonts w:hint="eastAsia" w:ascii="TimesNewRoman" w:hAnsi="TimesNewRoman" w:cs="TimesNewRoman"/>
                <w:b/>
                <w:bCs/>
                <w:kern w:val="0"/>
                <w:sz w:val="18"/>
                <w:szCs w:val="18"/>
                <w:lang w:val="en-US" w:eastAsia="zh-CN"/>
              </w:rPr>
              <w:t>41.5</w:t>
            </w:r>
            <w:r>
              <w:rPr>
                <w:rFonts w:hint="default" w:ascii="TimesNewRoman" w:hAnsi="TimesNewRoman" w:cs="TimesNewRoman"/>
                <w:b/>
                <w:bCs/>
                <w:kern w:val="0"/>
                <w:sz w:val="18"/>
                <w:szCs w:val="18"/>
              </w:rPr>
              <w:t>　</w:t>
            </w:r>
          </w:p>
        </w:tc>
        <w:tc>
          <w:tcPr>
            <w:tcW w:w="318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  总　计</w:t>
            </w:r>
          </w:p>
        </w:tc>
        <w:tc>
          <w:tcPr>
            <w:tcW w:w="85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41.5</w:t>
            </w: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7"/>
          <w:cols w:space="720" w:num="1"/>
          <w:rtlGutter w:val="0"/>
          <w:docGrid w:type="line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公开表2</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Cs w:val="32"/>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淮南市</w:t>
      </w: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妇女联合会</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年收入总表</w:t>
      </w: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75"/>
        <w:gridCol w:w="675"/>
        <w:gridCol w:w="590"/>
        <w:gridCol w:w="680"/>
        <w:gridCol w:w="680"/>
        <w:gridCol w:w="680"/>
        <w:gridCol w:w="680"/>
        <w:gridCol w:w="680"/>
        <w:gridCol w:w="680"/>
        <w:gridCol w:w="680"/>
        <w:gridCol w:w="680"/>
        <w:gridCol w:w="680"/>
        <w:gridCol w:w="680"/>
        <w:gridCol w:w="680"/>
        <w:gridCol w:w="680"/>
        <w:gridCol w:w="680"/>
        <w:gridCol w:w="680"/>
        <w:gridCol w:w="680"/>
        <w:gridCol w:w="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87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部门（单位）名称</w:t>
            </w: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合计</w:t>
            </w:r>
          </w:p>
        </w:tc>
        <w:tc>
          <w:tcPr>
            <w:tcW w:w="7390" w:type="dxa"/>
            <w:gridSpan w:val="11"/>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本年收入</w:t>
            </w:r>
          </w:p>
        </w:tc>
        <w:tc>
          <w:tcPr>
            <w:tcW w:w="4080"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18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kern w:val="0"/>
                <w:sz w:val="20"/>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kern w:val="0"/>
                <w:sz w:val="20"/>
              </w:rPr>
            </w:pPr>
          </w:p>
        </w:tc>
        <w:tc>
          <w:tcPr>
            <w:tcW w:w="59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一般公共预算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政府性基金预算</w:t>
            </w:r>
          </w:p>
        </w:tc>
        <w:tc>
          <w:tcPr>
            <w:tcW w:w="6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国有资本经营预算</w:t>
            </w:r>
          </w:p>
        </w:tc>
        <w:tc>
          <w:tcPr>
            <w:tcW w:w="6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财政专户管理资金</w:t>
            </w:r>
          </w:p>
        </w:tc>
        <w:tc>
          <w:tcPr>
            <w:tcW w:w="4080" w:type="dxa"/>
            <w:gridSpan w:val="6"/>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单位资金</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一般公共预算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政府性基金预算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国有资本经营预算</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财政专户管理资金</w:t>
            </w:r>
          </w:p>
        </w:tc>
        <w:tc>
          <w:tcPr>
            <w:tcW w:w="680" w:type="dxa"/>
            <w:vMerge w:val="restart"/>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3" w:hRule="atLeast"/>
        </w:trPr>
        <w:tc>
          <w:tcPr>
            <w:tcW w:w="18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59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小计</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事业     收入</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事业单位经营收入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上级补助收入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附属单位上缴收入</w:t>
            </w:r>
          </w:p>
        </w:tc>
        <w:tc>
          <w:tcPr>
            <w:tcW w:w="6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0"/>
              </w:rPr>
            </w:pPr>
            <w:r>
              <w:rPr>
                <w:rFonts w:hint="default" w:ascii="TimesNewRoman" w:hAnsi="TimesNewRoman" w:cs="TimesNewRoman"/>
                <w:b/>
                <w:kern w:val="0"/>
                <w:sz w:val="20"/>
              </w:rPr>
              <w:t>其他   收入</w:t>
            </w: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680" w:type="dxa"/>
            <w:vMerge w:val="continue"/>
            <w:tcBorders>
              <w:top w:val="nil"/>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87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val="0"/>
                <w:bCs w:val="0"/>
                <w:kern w:val="0"/>
                <w:szCs w:val="32"/>
                <w:lang w:val="en-US" w:eastAsia="zh-CN"/>
              </w:rPr>
              <w:t>淮南市</w:t>
            </w:r>
            <w:r>
              <w:rPr>
                <w:rFonts w:hint="eastAsia" w:ascii="TimesNewRoman" w:hAnsi="TimesNewRoman" w:eastAsia="华文中宋" w:cs="TimesNewRoman"/>
                <w:b w:val="0"/>
                <w:bCs w:val="0"/>
                <w:kern w:val="0"/>
                <w:szCs w:val="32"/>
                <w:lang w:eastAsia="zh-CN"/>
              </w:rPr>
              <w:t>谢家集区</w:t>
            </w:r>
            <w:r>
              <w:rPr>
                <w:rFonts w:hint="eastAsia" w:ascii="TimesNewRoman" w:hAnsi="TimesNewRoman" w:eastAsia="华文中宋" w:cs="TimesNewRoman"/>
                <w:b w:val="0"/>
                <w:bCs w:val="0"/>
                <w:kern w:val="0"/>
                <w:szCs w:val="32"/>
                <w:lang w:val="en-US" w:eastAsia="zh-CN"/>
              </w:rPr>
              <w:t>妇女联合会</w:t>
            </w:r>
          </w:p>
        </w:tc>
        <w:tc>
          <w:tcPr>
            <w:tcW w:w="67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5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87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eastAsia" w:ascii="TimesNewRoman" w:hAnsi="TimesNewRoman" w:eastAsia="华文中宋" w:cs="TimesNewRoman"/>
                <w:b w:val="0"/>
                <w:bCs w:val="0"/>
                <w:kern w:val="0"/>
                <w:szCs w:val="32"/>
                <w:lang w:val="en-US" w:eastAsia="zh-CN"/>
              </w:rPr>
              <w:t>淮南市</w:t>
            </w:r>
            <w:r>
              <w:rPr>
                <w:rFonts w:hint="eastAsia" w:ascii="TimesNewRoman" w:hAnsi="TimesNewRoman" w:eastAsia="华文中宋" w:cs="TimesNewRoman"/>
                <w:b w:val="0"/>
                <w:bCs w:val="0"/>
                <w:kern w:val="0"/>
                <w:szCs w:val="32"/>
                <w:lang w:eastAsia="zh-CN"/>
              </w:rPr>
              <w:t>谢家集区</w:t>
            </w:r>
            <w:r>
              <w:rPr>
                <w:rFonts w:hint="eastAsia" w:ascii="TimesNewRoman" w:hAnsi="TimesNewRoman" w:eastAsia="华文中宋" w:cs="TimesNewRoman"/>
                <w:b w:val="0"/>
                <w:bCs w:val="0"/>
                <w:kern w:val="0"/>
                <w:szCs w:val="32"/>
                <w:lang w:val="en-US" w:eastAsia="zh-CN"/>
              </w:rPr>
              <w:t>妇女联合会</w:t>
            </w:r>
          </w:p>
        </w:tc>
        <w:tc>
          <w:tcPr>
            <w:tcW w:w="67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5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6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sectPr>
          <w:pgSz w:w="16838" w:h="11906" w:orient="landscape"/>
          <w:pgMar w:top="1797" w:right="1440" w:bottom="1797" w:left="1440" w:header="851" w:footer="992" w:gutter="0"/>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公开表3</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hint="eastAsia" w:ascii="TimesNewRoman" w:hAnsi="TimesNewRoman" w:cs="TimesNewRoman"/>
          <w:kern w:val="0"/>
          <w:sz w:val="20"/>
          <w:lang w:val="en-US" w:eastAsia="zh-CN"/>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淮南市</w:t>
      </w: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妇女联合会</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年支出总表</w:t>
      </w: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单位：万元</w:t>
      </w:r>
    </w:p>
    <w:tbl>
      <w:tblPr>
        <w:tblStyle w:val="7"/>
        <w:tblW w:w="9294" w:type="dxa"/>
        <w:tblInd w:w="-36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5"/>
        <w:gridCol w:w="3212"/>
        <w:gridCol w:w="780"/>
        <w:gridCol w:w="760"/>
        <w:gridCol w:w="740"/>
        <w:gridCol w:w="920"/>
        <w:gridCol w:w="870"/>
        <w:gridCol w:w="9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5" w:hRule="atLeast"/>
        </w:trPr>
        <w:tc>
          <w:tcPr>
            <w:tcW w:w="10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科目</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编码</w:t>
            </w:r>
          </w:p>
        </w:tc>
        <w:tc>
          <w:tcPr>
            <w:tcW w:w="32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科目名称</w:t>
            </w:r>
          </w:p>
        </w:tc>
        <w:tc>
          <w:tcPr>
            <w:tcW w:w="7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合计</w:t>
            </w:r>
          </w:p>
        </w:tc>
        <w:tc>
          <w:tcPr>
            <w:tcW w:w="7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基本支出</w:t>
            </w:r>
          </w:p>
        </w:tc>
        <w:tc>
          <w:tcPr>
            <w:tcW w:w="7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项目支出</w:t>
            </w:r>
          </w:p>
        </w:tc>
        <w:tc>
          <w:tcPr>
            <w:tcW w:w="9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both"/>
              <w:rPr>
                <w:rFonts w:hint="default" w:ascii="TimesNewRoman" w:hAnsi="TimesNewRoman" w:cs="TimesNewRoman"/>
                <w:b/>
                <w:bCs/>
                <w:kern w:val="0"/>
                <w:sz w:val="20"/>
                <w:szCs w:val="20"/>
              </w:rPr>
            </w:pPr>
            <w:r>
              <w:rPr>
                <w:rFonts w:hint="default" w:ascii="TimesNewRoman" w:hAnsi="TimesNewRoman" w:cs="TimesNewRoman"/>
                <w:b/>
                <w:bCs/>
                <w:kern w:val="0"/>
                <w:sz w:val="20"/>
                <w:szCs w:val="20"/>
              </w:rPr>
              <w:t>事业单位经营支出</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上缴上级支出</w:t>
            </w:r>
          </w:p>
        </w:tc>
        <w:tc>
          <w:tcPr>
            <w:tcW w:w="9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szCs w:val="20"/>
              </w:rPr>
            </w:pPr>
            <w:r>
              <w:rPr>
                <w:rFonts w:hint="default" w:ascii="TimesNewRoman" w:hAnsi="TimesNewRoman" w:cs="TimesNewRoman"/>
                <w:b/>
                <w:bCs/>
                <w:kern w:val="0"/>
                <w:sz w:val="20"/>
                <w:szCs w:val="20"/>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201</w:t>
            </w:r>
          </w:p>
        </w:tc>
        <w:tc>
          <w:tcPr>
            <w:tcW w:w="3212"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一般公共服务支出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35.5</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14.6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20.9</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default" w:ascii="TimesNewRoman" w:hAnsi="TimesNewRoman" w:cs="TimesNewRoman"/>
                <w:kern w:val="0"/>
                <w:sz w:val="22"/>
              </w:rPr>
              <w:t>201</w:t>
            </w:r>
            <w:r>
              <w:rPr>
                <w:rFonts w:hint="eastAsia" w:ascii="TimesNewRoman" w:hAnsi="TimesNewRoman" w:cs="TimesNewRoman"/>
                <w:kern w:val="0"/>
                <w:sz w:val="22"/>
                <w:lang w:val="en-US" w:eastAsia="zh-CN"/>
              </w:rPr>
              <w:t>29</w:t>
            </w:r>
          </w:p>
        </w:tc>
        <w:tc>
          <w:tcPr>
            <w:tcW w:w="3212"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default" w:ascii="TimesNewRoman" w:hAnsi="TimesNewRoman" w:cs="TimesNewRoman"/>
                <w:kern w:val="0"/>
                <w:sz w:val="22"/>
              </w:rPr>
              <w:t xml:space="preserve">    </w:t>
            </w:r>
            <w:r>
              <w:rPr>
                <w:rFonts w:hint="eastAsia" w:ascii="TimesNewRoman" w:hAnsi="TimesNewRoman" w:cs="TimesNewRoman"/>
                <w:kern w:val="0"/>
                <w:sz w:val="22"/>
                <w:lang w:val="en-US" w:eastAsia="zh-CN"/>
              </w:rPr>
              <w:t>群众团体事务</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35.5</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20.9</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2012901</w:t>
            </w:r>
          </w:p>
        </w:tc>
        <w:tc>
          <w:tcPr>
            <w:tcW w:w="3212"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xml:space="preserve">        行政运行</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17.6</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3.0</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lang w:val="en-US" w:eastAsia="zh-CN"/>
              </w:rPr>
            </w:pPr>
            <w:r>
              <w:rPr>
                <w:rFonts w:hint="eastAsia" w:ascii="TimesNewRoman" w:hAnsi="TimesNewRoman" w:cs="TimesNewRoman"/>
                <w:kern w:val="0"/>
                <w:sz w:val="22"/>
                <w:lang w:val="en-US" w:eastAsia="zh-CN"/>
              </w:rPr>
              <w:t>2012902</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一般行政管理事务</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17.9</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17.9</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208</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2.6</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20805</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2.6</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2080505</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1.7</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2080506</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0.9</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0.9</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210</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卫生健康支出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1.1</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21011</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行政事业单位医疗</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1.1</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2101101</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行政单位医疗</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0.8</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0.8</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2101103</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公务员医疗补助</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0.3</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0.3</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221</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住房保障支出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2.4</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22102</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住房改革支出</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2.4</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2210201</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住房公积金</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1.4</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2210202</w:t>
            </w:r>
          </w:p>
        </w:tc>
        <w:tc>
          <w:tcPr>
            <w:tcW w:w="3212"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提租补贴</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1.0</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1.0</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307"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7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41.5</w:t>
            </w:r>
          </w:p>
        </w:tc>
        <w:tc>
          <w:tcPr>
            <w:tcW w:w="76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20.6</w:t>
            </w:r>
          </w:p>
        </w:tc>
        <w:tc>
          <w:tcPr>
            <w:tcW w:w="7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20.9</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91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部门</w:t>
      </w:r>
      <w:r>
        <w:rPr>
          <w:rFonts w:hint="default" w:ascii="TimesNewRoman" w:hAnsi="TimesNewRoman" w:cs="TimesNewRoman"/>
          <w:kern w:val="0"/>
          <w:sz w:val="20"/>
          <w:u w:val="single"/>
        </w:rPr>
        <w:t>（单位）</w:t>
      </w:r>
      <w:r>
        <w:rPr>
          <w:rFonts w:hint="default" w:ascii="TimesNewRoman" w:hAnsi="TimesNewRoman" w:cs="TimesNewRoman"/>
          <w:kern w:val="0"/>
          <w:sz w:val="20"/>
        </w:rPr>
        <w:t>公开表4</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default" w:ascii="TimesNewRoman" w:hAnsi="TimesNewRoman" w:eastAsia="华文中宋" w:cs="TimesNewRoman"/>
          <w:b/>
          <w:bCs/>
          <w:kern w:val="0"/>
          <w:sz w:val="28"/>
          <w:szCs w:val="44"/>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年财政拨款收支总表</w:t>
      </w:r>
    </w:p>
    <w:p>
      <w:pPr>
        <w:keepNext w:val="0"/>
        <w:keepLines w:val="0"/>
        <w:pageBreakBefore w:val="0"/>
        <w:widowControl w:val="0"/>
        <w:kinsoku/>
        <w:wordWrap/>
        <w:overflowPunct/>
        <w:topLinePunct w:val="0"/>
        <w:autoSpaceDE/>
        <w:autoSpaceDN/>
        <w:bidi w:val="0"/>
        <w:adjustRightInd/>
        <w:snapToGrid/>
        <w:spacing w:line="560" w:lineRule="exact"/>
        <w:ind w:left="0" w:hanging="7807" w:hangingChars="3700"/>
        <w:textAlignment w:val="auto"/>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8"/>
        <w:gridCol w:w="1059"/>
        <w:gridCol w:w="3468"/>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77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w:t>
            </w:r>
          </w:p>
        </w:tc>
        <w:tc>
          <w:tcPr>
            <w:tcW w:w="463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预算数</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一、本年收入</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lang w:val="en-US"/>
              </w:rPr>
            </w:pPr>
            <w:r>
              <w:rPr>
                <w:rFonts w:hint="eastAsia" w:ascii="TimesNewRoman" w:hAnsi="TimesNewRoman" w:cs="TimesNewRoman"/>
                <w:kern w:val="0"/>
                <w:sz w:val="20"/>
                <w:lang w:val="en-US" w:eastAsia="zh-CN"/>
              </w:rPr>
              <w:t>41.5</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一、本年支出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41.5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lang w:val="en-US"/>
              </w:rPr>
            </w:pPr>
            <w:r>
              <w:rPr>
                <w:rFonts w:hint="eastAsia" w:ascii="TimesNewRoman" w:hAnsi="TimesNewRoman" w:cs="TimesNewRoman"/>
                <w:kern w:val="0"/>
                <w:sz w:val="20"/>
                <w:lang w:val="en-US" w:eastAsia="zh-CN"/>
              </w:rPr>
              <w:t>41.5</w:t>
            </w:r>
            <w:r>
              <w:rPr>
                <w:rFonts w:hint="default" w:ascii="TimesNewRoman" w:hAnsi="TimesNewRoman" w:cs="TimesNewRoman"/>
                <w:kern w:val="0"/>
                <w:sz w:val="20"/>
                <w:lang w:val="en-US"/>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（一）一般公共服务支出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0"/>
                <w:lang w:val="en-US" w:eastAsia="zh-CN"/>
              </w:rPr>
            </w:pPr>
            <w:r>
              <w:rPr>
                <w:rFonts w:hint="eastAsia" w:ascii="TimesNewRoman" w:hAnsi="TimesNewRoman" w:cs="TimesNewRoman"/>
                <w:kern w:val="0"/>
                <w:sz w:val="20"/>
                <w:lang w:val="en-US" w:eastAsia="zh-CN"/>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（二）外交支出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（三）国有资本经营预算拨款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（三）国防支出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（四）公共安全支出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二、上年结转</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（五）教育支出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（一）一般公共预算拨款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（六）科学技术支出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（二）政府性基金预算拨款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（七）文化旅游体育与传媒支出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0"/>
                <w:lang w:val="en-US" w:eastAsia="zh-CN" w:bidi="ar-SA"/>
              </w:rPr>
            </w:pPr>
            <w:r>
              <w:rPr>
                <w:rFonts w:hint="default" w:ascii="TimesNewRoman" w:hAnsi="TimesNewRoman" w:cs="TimesNewRoman"/>
                <w:kern w:val="0"/>
                <w:sz w:val="20"/>
              </w:rPr>
              <w:t>（三）国有资本经营预算拨款</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（八）社会保障和就业支出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2.6</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（九）卫生健康支出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1.1</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（十）节能环保支出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（十一）城乡社区支出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（十二）农林水支出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（十三）交通运输支出</w:t>
            </w:r>
          </w:p>
        </w:tc>
        <w:tc>
          <w:tcPr>
            <w:tcW w:w="11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（十四）资源勘探工业信息等支出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（十五）商业服务业等支出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（十六）金融支出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（十七）援助其他地区支出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377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bCs/>
                <w:kern w:val="0"/>
                <w:sz w:val="20"/>
              </w:rPr>
              <w:t>收      入</w:t>
            </w:r>
          </w:p>
        </w:tc>
        <w:tc>
          <w:tcPr>
            <w:tcW w:w="463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b/>
                <w:bCs/>
                <w:kern w:val="0"/>
                <w:sz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（十八）自然资源海洋气象等支出</w:t>
            </w:r>
          </w:p>
        </w:tc>
        <w:tc>
          <w:tcPr>
            <w:tcW w:w="11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（十九）住房保障支出</w:t>
            </w:r>
          </w:p>
        </w:tc>
        <w:tc>
          <w:tcPr>
            <w:tcW w:w="117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2.4</w:t>
            </w: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（二十）粮油物资储备支出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（二十一）灾害防治及应急管理支出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（二十二）预备费</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（二十三）其他支出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（二十四）转移性支出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（二十五）债务还本支出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（二十六）债务付息支出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（二十七）债务发行费用支出</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二、年终结转结余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（一）一般公共预算结转结余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（二）政府性基金预算结转结余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（三）国有资本经营预算结转结余</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271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收    入    总    计</w:t>
            </w:r>
          </w:p>
        </w:tc>
        <w:tc>
          <w:tcPr>
            <w:tcW w:w="1059"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0"/>
              </w:rPr>
            </w:pPr>
            <w:r>
              <w:rPr>
                <w:rFonts w:hint="eastAsia" w:ascii="TimesNewRoman" w:hAnsi="TimesNewRoman" w:cs="TimesNewRoman"/>
                <w:b/>
                <w:bCs/>
                <w:kern w:val="0"/>
                <w:sz w:val="20"/>
                <w:lang w:val="en-US" w:eastAsia="zh-CN"/>
              </w:rPr>
              <w:t>41.5</w:t>
            </w:r>
            <w:r>
              <w:rPr>
                <w:rFonts w:hint="default" w:ascii="TimesNewRoman" w:hAnsi="TimesNewRoman" w:cs="TimesNewRoman"/>
                <w:b/>
                <w:bCs/>
                <w:kern w:val="0"/>
                <w:sz w:val="20"/>
              </w:rPr>
              <w:t>　</w:t>
            </w:r>
          </w:p>
        </w:tc>
        <w:tc>
          <w:tcPr>
            <w:tcW w:w="346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支    出    总    计</w:t>
            </w:r>
          </w:p>
        </w:tc>
        <w:tc>
          <w:tcPr>
            <w:tcW w:w="117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eastAsia" w:ascii="TimesNewRoman" w:hAnsi="TimesNewRoman" w:cs="TimesNewRoman"/>
                <w:kern w:val="0"/>
                <w:sz w:val="20"/>
                <w:lang w:val="en-US" w:eastAsia="zh-CN"/>
              </w:rPr>
              <w:t>41.5</w:t>
            </w: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ind w:firstLine="6646" w:firstLineChars="3150"/>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p>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公开表5</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eastAsia" w:ascii="TimesNewRoman" w:hAnsi="TimesNewRoman" w:eastAsia="华文中宋" w:cs="TimesNewRoman"/>
          <w:b/>
          <w:bCs/>
          <w:kern w:val="0"/>
          <w:sz w:val="30"/>
          <w:szCs w:val="30"/>
          <w:lang w:val="en-US" w:eastAsia="zh-CN"/>
        </w:rPr>
        <w:t xml:space="preserve">  </w:t>
      </w: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年一般公共预算支出表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8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4"/>
        <w:gridCol w:w="2890"/>
        <w:gridCol w:w="840"/>
        <w:gridCol w:w="830"/>
        <w:gridCol w:w="1130"/>
        <w:gridCol w:w="1100"/>
        <w:gridCol w:w="11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编码</w:t>
            </w:r>
          </w:p>
        </w:tc>
        <w:tc>
          <w:tcPr>
            <w:tcW w:w="2890"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84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306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101"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2890"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4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小计</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人员经费</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公用经费</w:t>
            </w:r>
          </w:p>
        </w:tc>
        <w:tc>
          <w:tcPr>
            <w:tcW w:w="1101"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201</w:t>
            </w:r>
          </w:p>
        </w:tc>
        <w:tc>
          <w:tcPr>
            <w:tcW w:w="28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一般公共服务支出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35.5</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13.5</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1.0</w:t>
            </w:r>
          </w:p>
        </w:tc>
        <w:tc>
          <w:tcPr>
            <w:tcW w:w="110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201</w:t>
            </w:r>
            <w:r>
              <w:rPr>
                <w:rFonts w:hint="eastAsia" w:ascii="TimesNewRoman" w:hAnsi="TimesNewRoman" w:cs="TimesNewRoman"/>
                <w:kern w:val="0"/>
                <w:sz w:val="22"/>
                <w:lang w:val="en-US" w:eastAsia="zh-CN"/>
              </w:rPr>
              <w:t>29</w:t>
            </w:r>
          </w:p>
        </w:tc>
        <w:tc>
          <w:tcPr>
            <w:tcW w:w="28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xml:space="preserve">    </w:t>
            </w:r>
            <w:r>
              <w:rPr>
                <w:rFonts w:hint="eastAsia" w:ascii="TimesNewRoman" w:hAnsi="TimesNewRoman" w:cs="TimesNewRoman"/>
                <w:kern w:val="0"/>
                <w:sz w:val="22"/>
                <w:lang w:val="en-US" w:eastAsia="zh-CN"/>
              </w:rPr>
              <w:t>群众团体事务</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35.5</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13.5</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1.0</w:t>
            </w: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2012901</w:t>
            </w:r>
          </w:p>
        </w:tc>
        <w:tc>
          <w:tcPr>
            <w:tcW w:w="28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default" w:ascii="TimesNewRoman" w:hAnsi="TimesNewRoman" w:cs="TimesNewRoman"/>
                <w:kern w:val="0"/>
                <w:sz w:val="22"/>
              </w:rPr>
              <w:t xml:space="preserve">        行政运行</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17.6</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13.5</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1.0</w:t>
            </w: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2012902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一般行政管理事务</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17.9</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r>
              <w:rPr>
                <w:rFonts w:hint="eastAsia" w:ascii="TimesNewRoman" w:hAnsi="TimesNewRoman" w:cs="TimesNewRoman"/>
                <w:kern w:val="0"/>
                <w:sz w:val="22"/>
                <w:lang w:val="en-US" w:eastAsia="zh-CN"/>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208</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20805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2.6</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2080505</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机关事业单位基本养老保险缴费支出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1.7</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2080506</w:t>
            </w:r>
            <w:r>
              <w:rPr>
                <w:rFonts w:hint="default" w:ascii="TimesNewRoman" w:hAnsi="TimesNewRoman" w:cs="TimesNewRoman"/>
                <w:kern w:val="0"/>
                <w:sz w:val="22"/>
              </w:rPr>
              <w:t>　</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机关事业单位职业年金缴费支出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0.9</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0.9</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0.9</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210</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卫生健康支出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1.1</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21011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行政事业单位医疗</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1.1</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1.1</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2101101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行政单位医疗</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0.8</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0.8</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0.8</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2101103</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公务员医疗补助</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0.3</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0.3</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0.3</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221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住房保障支出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default" w:ascii="TimesNewRoman" w:hAnsi="TimesNewRoman" w:cs="TimesNewRoman"/>
                <w:kern w:val="0"/>
                <w:sz w:val="22"/>
              </w:rPr>
              <w:t>　</w:t>
            </w:r>
            <w:r>
              <w:rPr>
                <w:rFonts w:hint="eastAsia" w:ascii="TimesNewRoman" w:hAnsi="TimesNewRoman" w:cs="TimesNewRoman"/>
                <w:kern w:val="0"/>
                <w:sz w:val="22"/>
                <w:lang w:val="en-US" w:eastAsia="zh-CN"/>
              </w:rPr>
              <w:t>22102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住房改革支出</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2.4</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2210201</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住房公积金</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1.4</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3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lang w:val="en-US" w:eastAsia="zh-CN"/>
              </w:rPr>
              <w:t>2210202</w:t>
            </w:r>
          </w:p>
        </w:tc>
        <w:tc>
          <w:tcPr>
            <w:tcW w:w="289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提租补贴</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1.0</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1.0</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kern w:val="0"/>
                <w:sz w:val="22"/>
                <w:szCs w:val="22"/>
                <w:lang w:val="en-US" w:eastAsia="zh-CN" w:bidi="ar-SA"/>
              </w:rPr>
            </w:pPr>
            <w:r>
              <w:rPr>
                <w:rFonts w:hint="eastAsia" w:ascii="TimesNewRoman" w:hAnsi="TimesNewRoman" w:cs="TimesNewRoman"/>
                <w:kern w:val="0"/>
                <w:sz w:val="22"/>
                <w:szCs w:val="22"/>
                <w:lang w:val="en-US" w:eastAsia="zh-CN" w:bidi="ar-SA"/>
              </w:rPr>
              <w:t>1.0</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24"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8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41.5</w:t>
            </w:r>
          </w:p>
        </w:tc>
        <w:tc>
          <w:tcPr>
            <w:tcW w:w="8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20.6</w:t>
            </w:r>
          </w:p>
        </w:tc>
        <w:tc>
          <w:tcPr>
            <w:tcW w:w="11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19.6</w:t>
            </w:r>
          </w:p>
        </w:tc>
        <w:tc>
          <w:tcPr>
            <w:tcW w:w="11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1.0</w:t>
            </w:r>
          </w:p>
        </w:tc>
        <w:tc>
          <w:tcPr>
            <w:tcW w:w="1101"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eastAsia="宋体" w:cs="TimesNewRoman"/>
                <w:b/>
                <w:bCs/>
                <w:kern w:val="0"/>
                <w:sz w:val="22"/>
                <w:lang w:val="en-US" w:eastAsia="zh-CN"/>
              </w:rPr>
            </w:pPr>
            <w:r>
              <w:rPr>
                <w:rFonts w:hint="eastAsia" w:ascii="TimesNewRoman" w:hAnsi="TimesNewRoman" w:cs="TimesNewRoman"/>
                <w:b/>
                <w:bCs/>
                <w:kern w:val="0"/>
                <w:sz w:val="22"/>
                <w:lang w:val="en-US" w:eastAsia="zh-CN"/>
              </w:rPr>
              <w:t>20.9</w:t>
            </w:r>
          </w:p>
        </w:tc>
      </w:tr>
    </w:tbl>
    <w:p>
      <w:pPr>
        <w:keepNext w:val="0"/>
        <w:keepLines w:val="0"/>
        <w:pageBreakBefore w:val="0"/>
        <w:kinsoku/>
        <w:overflowPunct/>
        <w:topLinePunct w:val="0"/>
        <w:autoSpaceDE/>
        <w:autoSpaceDN/>
        <w:bidi w:val="0"/>
        <w:spacing w:line="560" w:lineRule="exact"/>
        <w:ind w:left="950" w:leftChars="430"/>
        <w:jc w:val="right"/>
        <w:rPr>
          <w:rFonts w:hint="default" w:ascii="TimesNewRoman" w:hAnsi="TimesNewRoman" w:cs="TimesNewRoman"/>
          <w:kern w:val="0"/>
          <w:sz w:val="20"/>
        </w:rPr>
      </w:pP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公开表6</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28"/>
          <w:szCs w:val="28"/>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28"/>
          <w:szCs w:val="28"/>
        </w:rPr>
        <w:t>202</w:t>
      </w:r>
      <w:r>
        <w:rPr>
          <w:rFonts w:hint="eastAsia" w:ascii="TimesNewRoman" w:hAnsi="TimesNewRoman" w:eastAsia="华文中宋" w:cs="TimesNewRoman"/>
          <w:b/>
          <w:bCs/>
          <w:kern w:val="0"/>
          <w:sz w:val="28"/>
          <w:szCs w:val="28"/>
          <w:lang w:val="en-US" w:eastAsia="zh-CN"/>
        </w:rPr>
        <w:t>4</w:t>
      </w:r>
      <w:r>
        <w:rPr>
          <w:rFonts w:hint="default" w:ascii="TimesNewRoman" w:hAnsi="TimesNewRoman" w:eastAsia="华文中宋" w:cs="TimesNewRoman"/>
          <w:b/>
          <w:bCs/>
          <w:kern w:val="0"/>
          <w:sz w:val="28"/>
          <w:szCs w:val="28"/>
        </w:rPr>
        <w:t>年一般公共预算基本支出表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1"/>
        <w:gridCol w:w="3266"/>
        <w:gridCol w:w="1005"/>
        <w:gridCol w:w="1200"/>
        <w:gridCol w:w="1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0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部门预算支出经济分类科目</w:t>
            </w:r>
          </w:p>
        </w:tc>
        <w:tc>
          <w:tcPr>
            <w:tcW w:w="342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266"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100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人员经费</w:t>
            </w:r>
          </w:p>
        </w:tc>
        <w:tc>
          <w:tcPr>
            <w:tcW w:w="1223"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301</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工资福利支出</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16.7</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16.7</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30101</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xml:space="preserve">    基本工资</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4.9</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4.9</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30102</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xml:space="preserve">    津贴补贴</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3.4</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3.4</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30103</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奖金</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3.1</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3.1</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30108</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机关事业单位基本养老保险缴费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1.7</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1.7</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30109</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职业年金缴费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0.9</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0.9</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30110</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0.8</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0.8</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30111</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0.3</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0.3</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30112</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其他社会保障缴费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0.0</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0.0</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30113</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住房公积金</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1.4</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1.4</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30199</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其他工资福利支出</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0.2</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0.2</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302</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商品和服务支出</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1.0</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30201</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办公费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0.2</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30216</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培训费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0.1</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30229</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福利费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0.0</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30239</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其他交通费用</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0.8</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303</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对个人和家庭的补助</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30302</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退休费</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0.3</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771"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30399</w:t>
            </w:r>
          </w:p>
        </w:tc>
        <w:tc>
          <w:tcPr>
            <w:tcW w:w="3266"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其他对个人和家庭的补助</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037" w:type="dxa"/>
            <w:gridSpan w:val="2"/>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w:t>
            </w:r>
            <w:r>
              <w:rPr>
                <w:rFonts w:hint="default" w:ascii="宋体" w:hAnsi="宋体" w:eastAsia="宋体" w:cs="宋体"/>
                <w:i w:val="0"/>
                <w:iCs w:val="0"/>
                <w:color w:val="000000"/>
                <w:kern w:val="0"/>
                <w:sz w:val="20"/>
                <w:szCs w:val="20"/>
                <w:u w:val="none"/>
                <w:lang w:val="en-US" w:eastAsia="zh-CN" w:bidi="ar"/>
              </w:rPr>
              <w:t xml:space="preserve"> 计</w:t>
            </w:r>
          </w:p>
        </w:tc>
        <w:tc>
          <w:tcPr>
            <w:tcW w:w="100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20.6</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19.6</w:t>
            </w:r>
          </w:p>
        </w:tc>
        <w:tc>
          <w:tcPr>
            <w:tcW w:w="1223"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　</w:t>
            </w:r>
            <w:r>
              <w:rPr>
                <w:rFonts w:hint="eastAsia" w:ascii="宋体" w:hAnsi="宋体" w:eastAsia="宋体" w:cs="宋体"/>
                <w:i w:val="0"/>
                <w:iCs w:val="0"/>
                <w:color w:val="000000"/>
                <w:kern w:val="0"/>
                <w:sz w:val="20"/>
                <w:szCs w:val="20"/>
                <w:u w:val="none"/>
                <w:lang w:val="en-US" w:eastAsia="zh-CN" w:bidi="ar"/>
              </w:rPr>
              <w:t>1.0</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2"/>
        <w:rPr>
          <w:rFonts w:hint="default" w:ascii="TimesNewRoman" w:hAnsi="TimesNewRoman" w:cs="TimesNewRoman"/>
        </w:rPr>
      </w:pPr>
    </w:p>
    <w:p>
      <w:pPr>
        <w:pStyle w:val="2"/>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0"/>
        </w:rPr>
      </w:pPr>
      <w:r>
        <w:rPr>
          <w:rFonts w:hint="default" w:ascii="TimesNewRoman" w:hAnsi="TimesNewRoman" w:cs="TimesNewRoman"/>
          <w:kern w:val="0"/>
          <w:sz w:val="20"/>
        </w:rPr>
        <w:t xml:space="preserve">                                                       </w:t>
      </w: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公开表7</w:t>
      </w:r>
    </w:p>
    <w:p>
      <w:pPr>
        <w:keepNext w:val="0"/>
        <w:keepLines w:val="0"/>
        <w:pageBreakBefore w:val="0"/>
        <w:widowControl/>
        <w:kinsoku/>
        <w:wordWrap/>
        <w:overflowPunct/>
        <w:topLinePunct w:val="0"/>
        <w:autoSpaceDE/>
        <w:autoSpaceDN/>
        <w:bidi w:val="0"/>
        <w:adjustRightInd/>
        <w:snapToGrid/>
        <w:spacing w:before="156" w:beforeLines="50" w:after="156" w:afterLines="50" w:line="560" w:lineRule="exact"/>
        <w:jc w:val="center"/>
        <w:textAlignment w:val="auto"/>
        <w:rPr>
          <w:rFonts w:hint="default" w:ascii="TimesNewRoman" w:hAnsi="TimesNewRoman" w:eastAsia="华文中宋" w:cs="TimesNewRoman"/>
          <w:b/>
          <w:bCs/>
          <w:kern w:val="0"/>
          <w:sz w:val="30"/>
          <w:szCs w:val="30"/>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年政府性基金预算支出表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5"/>
        <w:gridCol w:w="3820"/>
        <w:gridCol w:w="1000"/>
        <w:gridCol w:w="123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82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352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382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eastAsia" w:ascii="TimesNewRoman" w:hAnsi="TimesNewRoman" w:eastAsia="仿宋_GB2312" w:cs="TimesNewRoman"/>
                <w:kern w:val="0"/>
                <w:sz w:val="20"/>
                <w:lang w:eastAsia="zh-CN"/>
              </w:rPr>
            </w:pP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eastAsia="仿宋_GB2312" w:cs="TimesNewRoman"/>
                <w:kern w:val="0"/>
                <w:sz w:val="22"/>
                <w:lang w:val="en-US" w:eastAsia="zh-CN"/>
              </w:rPr>
            </w:pP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422" w:firstLineChars="200"/>
              <w:jc w:val="left"/>
              <w:rPr>
                <w:rFonts w:hint="default" w:ascii="TimesNewRoman" w:hAnsi="TimesNewRoman" w:cs="TimesNewRoman"/>
                <w:kern w:val="0"/>
                <w:sz w:val="20"/>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115" w:firstLineChars="50"/>
              <w:jc w:val="left"/>
              <w:rPr>
                <w:rFonts w:hint="default" w:ascii="TimesNewRoman" w:hAnsi="TimesNewRoman" w:eastAsia="仿宋_GB2312" w:cs="TimesNewRoman"/>
                <w:kern w:val="0"/>
                <w:sz w:val="22"/>
                <w:lang w:val="en-US" w:eastAsia="zh-CN"/>
              </w:rPr>
            </w:pP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5"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8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2"/>
              </w:rPr>
            </w:pPr>
            <w:r>
              <w:rPr>
                <w:rFonts w:hint="default" w:ascii="TimesNewRoman" w:hAnsi="TimesNewRoman" w:cs="TimesNewRoman"/>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985"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10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3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注：“</w:t>
      </w:r>
      <w:r>
        <w:rPr>
          <w:rFonts w:hint="eastAsia" w:ascii="TimesNewRoman" w:hAnsi="TimesNewRoman" w:cs="TimesNewRoman"/>
          <w:kern w:val="0"/>
          <w:sz w:val="24"/>
          <w:lang w:val="en-US" w:eastAsia="zh-CN"/>
        </w:rPr>
        <w:t>淮南市谢家集区妇女联合会</w:t>
      </w:r>
      <w:r>
        <w:rPr>
          <w:rFonts w:hint="default" w:ascii="TimesNewRoman" w:hAnsi="TimesNewRoman" w:cs="TimesNewRoman"/>
          <w:kern w:val="0"/>
          <w:sz w:val="24"/>
        </w:rPr>
        <w:t>没有政府性基金预算拨款收入，也没有政府性基金预算拨款安排的支出，故本表无数据”。</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2"/>
        <w:rPr>
          <w:rFonts w:hint="default"/>
        </w:rPr>
      </w:pPr>
    </w:p>
    <w:p>
      <w:pPr>
        <w:pStyle w:val="6"/>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cs="TimesNewRoman"/>
          <w:sz w:val="20"/>
          <w:szCs w:val="20"/>
        </w:rPr>
      </w:pPr>
    </w:p>
    <w:p>
      <w:pPr>
        <w:pStyle w:val="6"/>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cs="TimesNewRoman"/>
          <w:sz w:val="20"/>
          <w:szCs w:val="20"/>
        </w:rPr>
      </w:pPr>
    </w:p>
    <w:p>
      <w:pPr>
        <w:pStyle w:val="6"/>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cs="TimesNewRoman"/>
          <w:sz w:val="20"/>
          <w:szCs w:val="20"/>
        </w:rPr>
      </w:pPr>
    </w:p>
    <w:p>
      <w:pPr>
        <w:pStyle w:val="6"/>
        <w:keepNext w:val="0"/>
        <w:keepLines w:val="0"/>
        <w:pageBreakBefore w:val="0"/>
        <w:widowControl w:val="0"/>
        <w:kinsoku/>
        <w:wordWrap/>
        <w:overflowPunct/>
        <w:topLinePunct w:val="0"/>
        <w:autoSpaceDE/>
        <w:autoSpaceDN/>
        <w:bidi w:val="0"/>
        <w:adjustRightInd w:val="0"/>
        <w:snapToGrid w:val="0"/>
        <w:spacing w:after="156" w:afterLines="50" w:line="560" w:lineRule="exact"/>
        <w:ind w:right="102"/>
        <w:jc w:val="right"/>
        <w:textAlignment w:val="auto"/>
        <w:rPr>
          <w:rFonts w:hint="default" w:ascii="TimesNewRoman" w:hAnsi="TimesNewRoman" w:eastAsia="黑体" w:cs="TimesNewRoman"/>
          <w:bCs/>
          <w:sz w:val="36"/>
          <w:szCs w:val="36"/>
        </w:rPr>
      </w:pPr>
      <w:r>
        <w:rPr>
          <w:rFonts w:hint="default" w:ascii="TimesNewRoman" w:hAnsi="TimesNewRoman" w:cs="TimesNewRoman"/>
          <w:sz w:val="20"/>
          <w:szCs w:val="20"/>
        </w:rPr>
        <w:t xml:space="preserve"> </w:t>
      </w:r>
      <w:r>
        <w:rPr>
          <w:rFonts w:hint="default" w:ascii="TimesNewRoman" w:hAnsi="TimesNewRoman" w:eastAsia="仿宋_GB2312" w:cs="TimesNewRoman"/>
          <w:kern w:val="0"/>
          <w:sz w:val="20"/>
          <w:szCs w:val="20"/>
          <w:lang w:val="en-US" w:eastAsia="zh-CN" w:bidi="ar-SA"/>
        </w:rPr>
        <w:t xml:space="preserve"> 部门</w:t>
      </w:r>
      <w:r>
        <w:rPr>
          <w:rFonts w:hint="default" w:ascii="TimesNewRoman" w:hAnsi="TimesNewRoman" w:eastAsia="仿宋_GB2312" w:cs="TimesNewRoman"/>
          <w:kern w:val="0"/>
          <w:sz w:val="20"/>
          <w:szCs w:val="20"/>
          <w:u w:val="single"/>
          <w:lang w:val="en-US" w:eastAsia="zh-CN" w:bidi="ar-SA"/>
        </w:rPr>
        <w:t>（单位）</w:t>
      </w:r>
      <w:r>
        <w:rPr>
          <w:rFonts w:hint="default" w:ascii="TimesNewRoman" w:hAnsi="TimesNewRoman" w:eastAsia="仿宋_GB2312" w:cs="TimesNewRoman"/>
          <w:kern w:val="0"/>
          <w:sz w:val="20"/>
          <w:szCs w:val="20"/>
          <w:lang w:val="en-US" w:eastAsia="zh-CN" w:bidi="ar-SA"/>
        </w:rPr>
        <w:t>公开表8</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623"/>
        <w:gridCol w:w="3970"/>
        <w:gridCol w:w="236"/>
        <w:gridCol w:w="1094"/>
        <w:gridCol w:w="1390"/>
        <w:gridCol w:w="161"/>
        <w:gridCol w:w="1143"/>
        <w:gridCol w:w="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553" w:hRule="atLeast"/>
        </w:trPr>
        <w:tc>
          <w:tcPr>
            <w:tcW w:w="9108"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91"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18"/>
                <w:szCs w:val="18"/>
              </w:rPr>
            </w:pPr>
          </w:p>
        </w:tc>
        <w:tc>
          <w:tcPr>
            <w:tcW w:w="623"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3970" w:type="dxa"/>
            <w:tcBorders>
              <w:top w:val="nil"/>
              <w:left w:val="nil"/>
              <w:bottom w:val="single" w:color="auto" w:sz="4" w:space="0"/>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36" w:type="dxa"/>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2645" w:type="dxa"/>
            <w:gridSpan w:val="3"/>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315" w:type="dxa"/>
            <w:gridSpan w:val="2"/>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ind w:right="100"/>
              <w:jc w:val="right"/>
              <w:rPr>
                <w:rFonts w:hint="default" w:ascii="TimesNewRoman" w:hAnsi="TimesNewRoman" w:cs="TimesNewRoman"/>
                <w:kern w:val="0"/>
                <w:sz w:val="20"/>
              </w:rPr>
            </w:pPr>
            <w:r>
              <w:rPr>
                <w:rFonts w:hint="default" w:ascii="TimesNewRoman" w:hAnsi="TimesNewRoman" w:cs="TimesNewRoman"/>
                <w:kern w:val="0"/>
                <w:sz w:val="20"/>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kern w:val="0"/>
                <w:sz w:val="24"/>
              </w:rPr>
            </w:pPr>
            <w:r>
              <w:rPr>
                <w:rFonts w:hint="default" w:ascii="TimesNewRoman" w:hAnsi="TimesNewRoman" w:cs="TimesNewRoman"/>
                <w:b/>
                <w:kern w:val="0"/>
                <w:sz w:val="22"/>
              </w:rPr>
              <w:t>功能分类科目</w:t>
            </w:r>
          </w:p>
        </w:tc>
        <w:tc>
          <w:tcPr>
            <w:tcW w:w="402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b/>
                <w:bCs/>
                <w:kern w:val="0"/>
                <w:sz w:val="22"/>
              </w:rPr>
              <w:t>国有资本经营预算拨款支出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科目编码</w:t>
            </w: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科目名称</w:t>
            </w:r>
          </w:p>
        </w:tc>
        <w:tc>
          <w:tcPr>
            <w:tcW w:w="13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1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基本支出</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Cs/>
                <w:kern w:val="0"/>
                <w:sz w:val="22"/>
              </w:rPr>
            </w:pP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Cs/>
                <w:kern w:val="0"/>
                <w:sz w:val="22"/>
              </w:rPr>
            </w:pPr>
          </w:p>
        </w:tc>
        <w:tc>
          <w:tcPr>
            <w:tcW w:w="133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462" w:firstLineChars="200"/>
              <w:jc w:val="left"/>
              <w:rPr>
                <w:rFonts w:hint="default" w:ascii="TimesNewRoman" w:hAnsi="TimesNewRoman" w:cs="TimesNewRoman"/>
                <w:kern w:val="0"/>
                <w:sz w:val="22"/>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ind w:firstLine="924" w:firstLineChars="400"/>
              <w:jc w:val="left"/>
              <w:rPr>
                <w:rFonts w:hint="default" w:ascii="TimesNewRoman" w:hAnsi="TimesNewRoman" w:cs="TimesNewRoman"/>
                <w:kern w:val="0"/>
                <w:sz w:val="22"/>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p>
        </w:tc>
        <w:tc>
          <w:tcPr>
            <w:tcW w:w="39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bottom"/>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p>
        </w:tc>
        <w:tc>
          <w:tcPr>
            <w:tcW w:w="3970" w:type="dxa"/>
            <w:tcBorders>
              <w:top w:val="nil"/>
              <w:left w:val="nil"/>
              <w:bottom w:val="single" w:color="auto" w:sz="4" w:space="0"/>
              <w:right w:val="single" w:color="auto" w:sz="4" w:space="0"/>
            </w:tcBorders>
            <w:noWrap w:val="0"/>
            <w:vAlign w:val="bottom"/>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2"/>
              </w:rPr>
            </w:pPr>
            <w:r>
              <w:rPr>
                <w:rFonts w:hint="default" w:ascii="TimesNewRoman" w:hAnsi="TimesNewRoman" w:cs="TimesNewRoman"/>
                <w:kern w:val="0"/>
                <w:sz w:val="22"/>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2"/>
              </w:rPr>
            </w:pPr>
            <w:r>
              <w:rPr>
                <w:rFonts w:hint="default" w:ascii="TimesNewRoman" w:hAnsi="TimesNewRoman" w:cs="TimesNewRoman"/>
                <w:kern w:val="0"/>
                <w:sz w:val="22"/>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11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39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405" w:hRule="atLeast"/>
        </w:trPr>
        <w:tc>
          <w:tcPr>
            <w:tcW w:w="50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eastAsia" w:ascii="TimesNewRoman" w:hAnsi="TimesNewRoman" w:cs="TimesNewRoman"/>
                <w:b/>
                <w:bCs/>
                <w:kern w:val="0"/>
                <w:sz w:val="22"/>
                <w:lang w:eastAsia="zh-CN"/>
              </w:rPr>
              <w:t>合</w:t>
            </w:r>
            <w:r>
              <w:rPr>
                <w:rFonts w:hint="default" w:ascii="TimesNewRoman" w:hAnsi="TimesNewRoman" w:cs="TimesNewRoman"/>
                <w:b/>
                <w:bCs/>
                <w:kern w:val="0"/>
                <w:sz w:val="22"/>
              </w:rPr>
              <w:t xml:space="preserve"> 计</w:t>
            </w:r>
          </w:p>
        </w:tc>
        <w:tc>
          <w:tcPr>
            <w:tcW w:w="13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9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c>
          <w:tcPr>
            <w:tcW w:w="13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4"/>
              </w:rPr>
            </w:pPr>
            <w:r>
              <w:rPr>
                <w:rFonts w:hint="default" w:ascii="TimesNewRoman" w:hAnsi="TimesNewRoman" w:cs="TimesNew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2" w:type="dxa"/>
          <w:trHeight w:val="795" w:hRule="atLeast"/>
        </w:trPr>
        <w:tc>
          <w:tcPr>
            <w:tcW w:w="9108" w:type="dxa"/>
            <w:gridSpan w:val="8"/>
            <w:tcBorders>
              <w:top w:val="single" w:color="auto" w:sz="4" w:space="0"/>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4"/>
              </w:rPr>
            </w:pPr>
            <w:r>
              <w:rPr>
                <w:rFonts w:hint="default" w:ascii="TimesNewRoman" w:hAnsi="TimesNewRoman" w:cs="TimesNewRoman"/>
                <w:kern w:val="0"/>
                <w:sz w:val="24"/>
              </w:rPr>
              <w:t>注：“</w:t>
            </w:r>
            <w:r>
              <w:rPr>
                <w:rFonts w:hint="eastAsia" w:ascii="TimesNewRoman" w:hAnsi="TimesNewRoman" w:cs="TimesNewRoman"/>
                <w:kern w:val="0"/>
                <w:sz w:val="24"/>
                <w:lang w:val="en-US" w:eastAsia="zh-CN"/>
              </w:rPr>
              <w:t>淮南市谢家集区妇女联合会</w:t>
            </w:r>
            <w:r>
              <w:rPr>
                <w:rFonts w:hint="default" w:ascii="TimesNewRoman" w:hAnsi="TimesNewRoman" w:cs="TimesNewRoman"/>
                <w:kern w:val="0"/>
                <w:sz w:val="24"/>
              </w:rPr>
              <w:t>没有国有资本经营预算拨款收入，也没有国有资本经营预算拨款安排的支出，故本表无数据”。</w:t>
            </w:r>
          </w:p>
        </w:tc>
      </w:tr>
    </w:tbl>
    <w:p>
      <w:pPr>
        <w:keepNext w:val="0"/>
        <w:keepLines w:val="0"/>
        <w:pageBreakBefore w:val="0"/>
        <w:kinsoku/>
        <w:overflowPunct/>
        <w:topLinePunct w:val="0"/>
        <w:autoSpaceDE/>
        <w:autoSpaceDN/>
        <w:bidi w:val="0"/>
        <w:spacing w:line="560" w:lineRule="exact"/>
        <w:jc w:val="right"/>
        <w:rPr>
          <w:rFonts w:hint="default" w:ascii="TimesNewRoman" w:hAnsi="TimesNewRoman" w:cs="TimesNewRoman"/>
          <w:kern w:val="0"/>
          <w:sz w:val="20"/>
        </w:rPr>
        <w:sectPr>
          <w:pgSz w:w="11906" w:h="16838"/>
          <w:pgMar w:top="1440" w:right="1797" w:bottom="1440" w:left="1797" w:header="851" w:footer="992" w:gutter="0"/>
          <w:pgBorders>
            <w:top w:val="none" w:sz="0" w:space="0"/>
            <w:left w:val="none" w:sz="0" w:space="0"/>
            <w:bottom w:val="none" w:sz="0" w:space="0"/>
            <w:right w:val="none" w:sz="0" w:space="0"/>
          </w:pgBorders>
          <w:pgNumType w:fmt="numberInDash"/>
          <w:cols w:space="720" w:num="1"/>
          <w:rtlGutter w:val="0"/>
          <w:docGrid w:type="linesAndChars" w:linePitch="312" w:charSpace="2457"/>
        </w:sectPr>
      </w:pPr>
    </w:p>
    <w:p>
      <w:pPr>
        <w:keepNext w:val="0"/>
        <w:keepLines w:val="0"/>
        <w:pageBreakBefore w:val="0"/>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kern w:val="0"/>
          <w:sz w:val="20"/>
          <w:lang w:val="en-US" w:eastAsia="zh-CN"/>
        </w:rPr>
        <w:t xml:space="preserve">                                                                                                          </w:t>
      </w:r>
      <w:r>
        <w:rPr>
          <w:rFonts w:hint="default" w:ascii="TimesNewRoman" w:hAnsi="TimesNewRoman" w:cs="TimesNewRoman"/>
          <w:kern w:val="0"/>
          <w:sz w:val="20"/>
        </w:rPr>
        <w:t>部门</w:t>
      </w:r>
      <w:r>
        <w:rPr>
          <w:rFonts w:hint="default" w:ascii="TimesNewRoman" w:hAnsi="TimesNewRoman" w:cs="TimesNewRoman"/>
          <w:kern w:val="0"/>
          <w:sz w:val="20"/>
          <w:u w:val="single"/>
        </w:rPr>
        <w:t>（单位）</w:t>
      </w:r>
      <w:r>
        <w:rPr>
          <w:rFonts w:hint="default" w:ascii="TimesNewRoman" w:hAnsi="TimesNewRoman" w:cs="TimesNewRoman"/>
          <w:kern w:val="0"/>
          <w:sz w:val="20"/>
        </w:rPr>
        <w:t>公开表9</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 w:val="30"/>
          <w:szCs w:val="30"/>
        </w:rPr>
      </w:pPr>
      <w:r>
        <w:rPr>
          <w:rFonts w:hint="default" w:ascii="TimesNewRoman" w:hAnsi="TimesNewRoman" w:eastAsia="华文中宋" w:cs="TimesNewRoman"/>
          <w:b/>
          <w:bCs/>
          <w:kern w:val="0"/>
          <w:sz w:val="28"/>
          <w:szCs w:val="44"/>
        </w:rPr>
        <w:t xml:space="preserve"> </w:t>
      </w:r>
      <w:r>
        <w:rPr>
          <w:rFonts w:hint="eastAsia" w:ascii="TimesNewRoman" w:hAnsi="TimesNewRoman" w:eastAsia="华文中宋" w:cs="TimesNewRoman"/>
          <w:b/>
          <w:bCs/>
          <w:kern w:val="0"/>
          <w:sz w:val="28"/>
          <w:szCs w:val="44"/>
          <w:lang w:val="en-US" w:eastAsia="zh-CN"/>
        </w:rPr>
        <w:t>淮南市</w:t>
      </w:r>
      <w:r>
        <w:rPr>
          <w:rFonts w:hint="eastAsia" w:ascii="TimesNewRoman" w:hAnsi="TimesNewRoman" w:eastAsia="华文中宋" w:cs="TimesNewRoman"/>
          <w:b/>
          <w:bCs/>
          <w:kern w:val="0"/>
          <w:sz w:val="28"/>
          <w:szCs w:val="44"/>
          <w:lang w:eastAsia="zh-CN"/>
        </w:rPr>
        <w:t>谢家集区</w:t>
      </w:r>
      <w:r>
        <w:rPr>
          <w:rFonts w:hint="eastAsia" w:ascii="TimesNewRoman" w:hAnsi="TimesNewRoman" w:eastAsia="华文中宋" w:cs="TimesNewRoman"/>
          <w:b/>
          <w:bCs/>
          <w:kern w:val="0"/>
          <w:sz w:val="28"/>
          <w:szCs w:val="44"/>
          <w:lang w:val="en-US" w:eastAsia="zh-CN"/>
        </w:rPr>
        <w:t>妇女联合会</w:t>
      </w:r>
      <w:r>
        <w:rPr>
          <w:rFonts w:hint="default" w:ascii="TimesNewRoman" w:hAnsi="TimesNewRoman" w:eastAsia="华文中宋" w:cs="TimesNewRoman"/>
          <w:b/>
          <w:bCs/>
          <w:kern w:val="0"/>
          <w:sz w:val="30"/>
          <w:szCs w:val="30"/>
        </w:rPr>
        <w:t>202</w:t>
      </w:r>
      <w:r>
        <w:rPr>
          <w:rFonts w:hint="eastAsia" w:ascii="TimesNewRoman" w:hAnsi="TimesNewRoman" w:eastAsia="华文中宋" w:cs="TimesNewRoman"/>
          <w:b/>
          <w:bCs/>
          <w:kern w:val="0"/>
          <w:sz w:val="30"/>
          <w:szCs w:val="30"/>
          <w:lang w:val="en-US" w:eastAsia="zh-CN"/>
        </w:rPr>
        <w:t>4</w:t>
      </w:r>
      <w:r>
        <w:rPr>
          <w:rFonts w:hint="default" w:ascii="TimesNewRoman" w:hAnsi="TimesNewRoman" w:eastAsia="华文中宋" w:cs="TimesNewRoman"/>
          <w:b/>
          <w:bCs/>
          <w:kern w:val="0"/>
          <w:sz w:val="30"/>
          <w:szCs w:val="30"/>
        </w:rPr>
        <w:t>年项目支出表</w:t>
      </w:r>
    </w:p>
    <w:p>
      <w:pPr>
        <w:keepNext w:val="0"/>
        <w:keepLines w:val="0"/>
        <w:pageBreakBefore w:val="0"/>
        <w:kinsoku/>
        <w:overflowPunct/>
        <w:topLinePunct w:val="0"/>
        <w:autoSpaceDE/>
        <w:autoSpaceDN/>
        <w:bidi w:val="0"/>
        <w:spacing w:line="560" w:lineRule="exact"/>
        <w:ind w:left="7400" w:hanging="7807" w:hangingChars="3700"/>
        <w:rPr>
          <w:rFonts w:hint="default" w:ascii="TimesNewRoman" w:hAnsi="TimesNewRoman" w:cs="TimesNewRoman"/>
          <w:kern w:val="0"/>
          <w:sz w:val="20"/>
        </w:rPr>
      </w:pPr>
      <w:r>
        <w:rPr>
          <w:rFonts w:hint="default" w:ascii="TimesNewRoman" w:hAnsi="TimesNewRoman" w:cs="TimesNewRoman"/>
          <w:kern w:val="0"/>
          <w:sz w:val="20"/>
        </w:rPr>
        <w:t xml:space="preserve">                                                                                                                       单位：万元</w:t>
      </w:r>
    </w:p>
    <w:tbl>
      <w:tblPr>
        <w:tblStyle w:val="7"/>
        <w:tblW w:w="0" w:type="auto"/>
        <w:tblInd w:w="-19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90"/>
        <w:gridCol w:w="1335"/>
        <w:gridCol w:w="1570"/>
        <w:gridCol w:w="920"/>
        <w:gridCol w:w="1380"/>
        <w:gridCol w:w="1185"/>
        <w:gridCol w:w="1170"/>
        <w:gridCol w:w="1145"/>
        <w:gridCol w:w="1220"/>
        <w:gridCol w:w="1220"/>
        <w:gridCol w:w="102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29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类型</w:t>
            </w:r>
          </w:p>
        </w:tc>
        <w:tc>
          <w:tcPr>
            <w:tcW w:w="1335" w:type="dxa"/>
            <w:vMerge w:val="restart"/>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项目名称</w:t>
            </w:r>
          </w:p>
        </w:tc>
        <w:tc>
          <w:tcPr>
            <w:tcW w:w="157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项目单位</w:t>
            </w:r>
          </w:p>
        </w:tc>
        <w:tc>
          <w:tcPr>
            <w:tcW w:w="92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合计</w:t>
            </w:r>
          </w:p>
        </w:tc>
        <w:tc>
          <w:tcPr>
            <w:tcW w:w="3735" w:type="dxa"/>
            <w:gridSpan w:val="3"/>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本年财政拨款</w:t>
            </w:r>
          </w:p>
        </w:tc>
        <w:tc>
          <w:tcPr>
            <w:tcW w:w="3585" w:type="dxa"/>
            <w:gridSpan w:val="3"/>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财政拨款结转结余</w:t>
            </w:r>
          </w:p>
        </w:tc>
        <w:tc>
          <w:tcPr>
            <w:tcW w:w="102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财政专户管理资金</w:t>
            </w:r>
          </w:p>
        </w:tc>
        <w:tc>
          <w:tcPr>
            <w:tcW w:w="880" w:type="dxa"/>
            <w:vMerge w:val="restar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单位</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29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335" w:type="dxa"/>
            <w:vMerge w:val="continue"/>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57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92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138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一般公共预算</w:t>
            </w:r>
          </w:p>
        </w:tc>
        <w:tc>
          <w:tcPr>
            <w:tcW w:w="1185"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基金预算</w:t>
            </w:r>
          </w:p>
        </w:tc>
        <w:tc>
          <w:tcPr>
            <w:tcW w:w="117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国有资本经营预算</w:t>
            </w:r>
          </w:p>
        </w:tc>
        <w:tc>
          <w:tcPr>
            <w:tcW w:w="1145"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一般公共预算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基金预算</w:t>
            </w:r>
          </w:p>
        </w:tc>
        <w:tc>
          <w:tcPr>
            <w:tcW w:w="1220" w:type="dxa"/>
            <w:tcBorders>
              <w:top w:val="nil"/>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default" w:ascii="TimesNewRoman" w:hAnsi="TimesNewRoman" w:cs="TimesNewRoman"/>
                <w:b/>
                <w:bCs/>
                <w:kern w:val="0"/>
                <w:sz w:val="22"/>
              </w:rPr>
              <w:t>国有资本经营预算</w:t>
            </w:r>
          </w:p>
        </w:tc>
        <w:tc>
          <w:tcPr>
            <w:tcW w:w="102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c>
          <w:tcPr>
            <w:tcW w:w="880"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特定目标类</w:t>
            </w:r>
          </w:p>
        </w:tc>
        <w:tc>
          <w:tcPr>
            <w:tcW w:w="133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NewRoman" w:hAnsi="TimesNewRoman" w:cs="TimesNewRoman"/>
                <w:kern w:val="0"/>
                <w:sz w:val="22"/>
              </w:rPr>
            </w:pPr>
            <w:r>
              <w:rPr>
                <w:rFonts w:hint="eastAsia" w:ascii="宋体" w:hAnsi="宋体" w:eastAsia="宋体" w:cs="宋体"/>
                <w:i w:val="0"/>
                <w:iCs w:val="0"/>
                <w:color w:val="000000"/>
                <w:kern w:val="0"/>
                <w:sz w:val="20"/>
                <w:szCs w:val="20"/>
                <w:u w:val="none"/>
                <w:lang w:val="en-US" w:eastAsia="zh-CN" w:bidi="ar"/>
              </w:rPr>
              <w:t>办公经费</w:t>
            </w:r>
          </w:p>
        </w:tc>
        <w:tc>
          <w:tcPr>
            <w:tcW w:w="15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b/>
                <w:bCs/>
                <w:kern w:val="0"/>
                <w:sz w:val="18"/>
                <w:szCs w:val="18"/>
              </w:rPr>
            </w:pPr>
            <w:r>
              <w:rPr>
                <w:rFonts w:hint="eastAsia" w:ascii="TimesNewRoman" w:hAnsi="TimesNewRoman" w:cs="TimesNewRoman"/>
                <w:kern w:val="0"/>
                <w:sz w:val="20"/>
                <w:szCs w:val="18"/>
                <w:lang w:val="en-US" w:eastAsia="zh-CN"/>
              </w:rPr>
              <w:t>淮南市谢家集区妇女联合会</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2.6</w:t>
            </w:r>
            <w:r>
              <w:rPr>
                <w:rFonts w:hint="default" w:ascii="TimesNewRoman" w:hAnsi="TimesNewRoman" w:cs="TimesNewRoman"/>
                <w:b/>
                <w:bCs/>
                <w:kern w:val="0"/>
                <w:sz w:val="22"/>
              </w:rPr>
              <w:t>　</w:t>
            </w:r>
          </w:p>
        </w:tc>
        <w:tc>
          <w:tcPr>
            <w:tcW w:w="13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2.6</w:t>
            </w:r>
            <w:r>
              <w:rPr>
                <w:rFonts w:hint="default" w:ascii="TimesNewRoman" w:hAnsi="TimesNewRoman" w:cs="TimesNewRoman"/>
                <w:b/>
                <w:bCs/>
                <w:kern w:val="0"/>
                <w:sz w:val="22"/>
              </w:rPr>
              <w:t>　</w:t>
            </w:r>
          </w:p>
        </w:tc>
        <w:tc>
          <w:tcPr>
            <w:tcW w:w="118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特定目标类</w:t>
            </w:r>
          </w:p>
        </w:tc>
        <w:tc>
          <w:tcPr>
            <w:tcW w:w="133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人均一元钱</w:t>
            </w:r>
          </w:p>
        </w:tc>
        <w:tc>
          <w:tcPr>
            <w:tcW w:w="15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淮南市谢家集区妇女联合会</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lang w:val="en-US" w:eastAsia="zh-CN"/>
              </w:rPr>
            </w:pPr>
            <w:r>
              <w:rPr>
                <w:rFonts w:hint="eastAsia" w:ascii="TimesNewRoman" w:hAnsi="TimesNewRoman" w:cs="TimesNewRoman"/>
                <w:b/>
                <w:bCs/>
                <w:kern w:val="0"/>
                <w:sz w:val="22"/>
                <w:lang w:val="en-US" w:eastAsia="zh-CN"/>
              </w:rPr>
              <w:t>17.9</w:t>
            </w:r>
          </w:p>
        </w:tc>
        <w:tc>
          <w:tcPr>
            <w:tcW w:w="13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lang w:val="en-US" w:eastAsia="zh-CN"/>
              </w:rPr>
            </w:pPr>
            <w:r>
              <w:rPr>
                <w:rFonts w:hint="eastAsia" w:ascii="TimesNewRoman" w:hAnsi="TimesNewRoman" w:cs="TimesNewRoman"/>
                <w:b/>
                <w:bCs/>
                <w:kern w:val="0"/>
                <w:sz w:val="22"/>
                <w:lang w:val="en-US" w:eastAsia="zh-CN"/>
              </w:rPr>
              <w:t>17.9</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11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114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290"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特定目标类</w:t>
            </w:r>
          </w:p>
        </w:tc>
        <w:tc>
          <w:tcPr>
            <w:tcW w:w="1335"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政府采购</w:t>
            </w:r>
          </w:p>
        </w:tc>
        <w:tc>
          <w:tcPr>
            <w:tcW w:w="1570"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淮南市谢家集区妇女联合会</w:t>
            </w:r>
            <w:r>
              <w:rPr>
                <w:rFonts w:hint="default" w:ascii="宋体" w:hAnsi="宋体" w:eastAsia="宋体" w:cs="宋体"/>
                <w:i w:val="0"/>
                <w:iCs w:val="0"/>
                <w:color w:val="000000"/>
                <w:kern w:val="0"/>
                <w:sz w:val="20"/>
                <w:szCs w:val="20"/>
                <w:u w:val="none"/>
                <w:lang w:val="en-US" w:eastAsia="zh-CN" w:bidi="ar"/>
              </w:rPr>
              <w:t>　</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0.4</w:t>
            </w:r>
            <w:r>
              <w:rPr>
                <w:rFonts w:hint="default" w:ascii="TimesNewRoman" w:hAnsi="TimesNewRoman" w:cs="TimesNewRoman"/>
                <w:b/>
                <w:bCs/>
                <w:kern w:val="0"/>
                <w:sz w:val="22"/>
              </w:rPr>
              <w:t>　</w:t>
            </w:r>
          </w:p>
        </w:tc>
        <w:tc>
          <w:tcPr>
            <w:tcW w:w="13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0.4</w:t>
            </w:r>
            <w:r>
              <w:rPr>
                <w:rFonts w:hint="default" w:ascii="TimesNewRoman" w:hAnsi="TimesNewRoman" w:cs="TimesNewRoman"/>
                <w:b/>
                <w:bCs/>
                <w:kern w:val="0"/>
                <w:sz w:val="22"/>
              </w:rPr>
              <w:t>　</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4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195" w:type="dxa"/>
            <w:gridSpan w:val="3"/>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2"/>
              </w:rPr>
            </w:pPr>
            <w:r>
              <w:rPr>
                <w:rFonts w:hint="eastAsia" w:ascii="TimesNewRoman" w:hAnsi="TimesNewRoman" w:cs="TimesNewRoman"/>
                <w:b/>
                <w:bCs/>
                <w:kern w:val="0"/>
                <w:sz w:val="22"/>
                <w:lang w:eastAsia="zh-CN"/>
              </w:rPr>
              <w:t>合</w:t>
            </w:r>
            <w:r>
              <w:rPr>
                <w:rFonts w:hint="eastAsia" w:ascii="TimesNewRoman" w:hAnsi="TimesNewRoman" w:cs="TimesNewRoman"/>
                <w:b/>
                <w:bCs/>
                <w:kern w:val="0"/>
                <w:sz w:val="22"/>
                <w:lang w:val="en-US" w:eastAsia="zh-CN"/>
              </w:rPr>
              <w:t xml:space="preserve"> </w:t>
            </w:r>
            <w:r>
              <w:rPr>
                <w:rFonts w:hint="default" w:ascii="TimesNewRoman" w:hAnsi="TimesNewRoman" w:cs="TimesNewRoman"/>
                <w:b/>
                <w:bCs/>
                <w:kern w:val="0"/>
                <w:sz w:val="22"/>
              </w:rPr>
              <w:t>计　</w:t>
            </w:r>
          </w:p>
        </w:tc>
        <w:tc>
          <w:tcPr>
            <w:tcW w:w="9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20.9</w:t>
            </w:r>
            <w:r>
              <w:rPr>
                <w:rFonts w:hint="default" w:ascii="TimesNewRoman" w:hAnsi="TimesNewRoman" w:cs="TimesNewRoman"/>
                <w:b/>
                <w:bCs/>
                <w:kern w:val="0"/>
                <w:sz w:val="22"/>
              </w:rPr>
              <w:t>　</w:t>
            </w:r>
          </w:p>
        </w:tc>
        <w:tc>
          <w:tcPr>
            <w:tcW w:w="13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eastAsia" w:ascii="TimesNewRoman" w:hAnsi="TimesNewRoman" w:cs="TimesNewRoman"/>
                <w:b/>
                <w:bCs/>
                <w:kern w:val="0"/>
                <w:sz w:val="22"/>
                <w:lang w:val="en-US" w:eastAsia="zh-CN"/>
              </w:rPr>
              <w:t>20.9</w:t>
            </w:r>
            <w:r>
              <w:rPr>
                <w:rFonts w:hint="default" w:ascii="TimesNewRoman" w:hAnsi="TimesNewRoman" w:cs="TimesNewRoman"/>
                <w:b/>
                <w:bCs/>
                <w:kern w:val="0"/>
                <w:sz w:val="22"/>
              </w:rPr>
              <w:t>　</w:t>
            </w:r>
          </w:p>
        </w:tc>
        <w:tc>
          <w:tcPr>
            <w:tcW w:w="118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7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145"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2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10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c>
          <w:tcPr>
            <w:tcW w:w="88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b/>
                <w:bCs/>
                <w:kern w:val="0"/>
                <w:sz w:val="22"/>
              </w:rPr>
            </w:pPr>
            <w:r>
              <w:rPr>
                <w:rFonts w:hint="default" w:ascii="TimesNewRoman" w:hAnsi="TimesNewRoman" w:cs="TimesNewRoman"/>
                <w:b/>
                <w:bCs/>
                <w:kern w:val="0"/>
                <w:sz w:val="22"/>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p>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sectPr>
          <w:pgSz w:w="16838" w:h="11906" w:orient="landscape"/>
          <w:pgMar w:top="1797" w:right="1440" w:bottom="1797" w:left="1440"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457"/>
        </w:sectPr>
      </w:pPr>
    </w:p>
    <w:p>
      <w:pPr>
        <w:pStyle w:val="6"/>
        <w:keepNext w:val="0"/>
        <w:keepLines w:val="0"/>
        <w:pageBreakBefore w:val="0"/>
        <w:widowControl w:val="0"/>
        <w:kinsoku/>
        <w:wordWrap w:val="0"/>
        <w:overflowPunct/>
        <w:topLinePunct w:val="0"/>
        <w:autoSpaceDE/>
        <w:autoSpaceDN/>
        <w:bidi w:val="0"/>
        <w:adjustRightInd w:val="0"/>
        <w:snapToGrid w:val="0"/>
        <w:spacing w:after="156" w:afterLines="50" w:line="560" w:lineRule="exact"/>
        <w:jc w:val="center"/>
        <w:textAlignment w:val="auto"/>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 xml:space="preserve">    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公开表10</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150"/>
        <w:gridCol w:w="900"/>
        <w:gridCol w:w="1034"/>
        <w:gridCol w:w="1147"/>
        <w:gridCol w:w="1140"/>
        <w:gridCol w:w="1120"/>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8879" w:type="dxa"/>
            <w:gridSpan w:val="8"/>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淮南市</w:t>
            </w: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妇女联合会</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年政府采购支出表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Cs w:val="32"/>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jc w:val="center"/>
        </w:trPr>
        <w:tc>
          <w:tcPr>
            <w:tcW w:w="1200"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项目名称</w:t>
            </w:r>
          </w:p>
        </w:tc>
        <w:tc>
          <w:tcPr>
            <w:tcW w:w="115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政府采购品目</w:t>
            </w:r>
          </w:p>
        </w:tc>
        <w:tc>
          <w:tcPr>
            <w:tcW w:w="90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合计</w:t>
            </w:r>
          </w:p>
        </w:tc>
        <w:tc>
          <w:tcPr>
            <w:tcW w:w="1034"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一般公共预算</w:t>
            </w:r>
          </w:p>
        </w:tc>
        <w:tc>
          <w:tcPr>
            <w:tcW w:w="1147"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政府性</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基金预算</w:t>
            </w:r>
          </w:p>
        </w:tc>
        <w:tc>
          <w:tcPr>
            <w:tcW w:w="114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国有资本经营预算</w:t>
            </w:r>
          </w:p>
        </w:tc>
        <w:tc>
          <w:tcPr>
            <w:tcW w:w="1120"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财政专户管理资金</w:t>
            </w:r>
          </w:p>
        </w:tc>
        <w:tc>
          <w:tcPr>
            <w:tcW w:w="1188" w:type="dxa"/>
            <w:tcBorders>
              <w:top w:val="single" w:color="auto" w:sz="4" w:space="0"/>
              <w:left w:val="nil"/>
              <w:bottom w:val="nil"/>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b/>
                <w:bCs/>
                <w:kern w:val="0"/>
                <w:sz w:val="20"/>
              </w:rPr>
            </w:pPr>
            <w:r>
              <w:rPr>
                <w:rFonts w:hint="default" w:ascii="TimesNewRoman" w:hAnsi="TimesNewRoman" w:cs="TimesNewRoman"/>
                <w:b/>
                <w:bCs/>
                <w:kern w:val="0"/>
                <w:sz w:val="20"/>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20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115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left"/>
              <w:rPr>
                <w:rFonts w:hint="default" w:ascii="TimesNewRoman" w:hAnsi="TimesNewRoman" w:cs="TimesNewRoman"/>
                <w:kern w:val="0"/>
                <w:sz w:val="20"/>
              </w:rPr>
            </w:pPr>
            <w:r>
              <w:rPr>
                <w:rFonts w:hint="default" w:ascii="TimesNewRoman" w:hAnsi="TimesNewRoman" w:cs="TimesNewRoman"/>
                <w:kern w:val="0"/>
                <w:sz w:val="20"/>
              </w:rPr>
              <w:t>　</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350"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eastAsia" w:ascii="TimesNewRoman" w:hAnsi="TimesNewRoman" w:cs="TimesNewRoman"/>
                <w:b/>
                <w:bCs/>
                <w:kern w:val="0"/>
                <w:sz w:val="22"/>
                <w:lang w:eastAsia="zh-CN"/>
              </w:rPr>
              <w:t>合</w:t>
            </w:r>
            <w:r>
              <w:rPr>
                <w:rFonts w:hint="default" w:ascii="TimesNewRoman" w:hAnsi="TimesNewRoman" w:cs="TimesNewRoman"/>
                <w:b/>
                <w:sz w:val="20"/>
              </w:rPr>
              <w:t xml:space="preserve"> 计</w:t>
            </w:r>
          </w:p>
        </w:tc>
        <w:tc>
          <w:tcPr>
            <w:tcW w:w="90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034"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7"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4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20"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c>
          <w:tcPr>
            <w:tcW w:w="1188" w:type="dxa"/>
            <w:tcBorders>
              <w:top w:val="nil"/>
              <w:left w:val="nil"/>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spacing w:line="560" w:lineRule="exact"/>
              <w:jc w:val="right"/>
              <w:rPr>
                <w:rFonts w:hint="default" w:ascii="TimesNewRoman" w:hAnsi="TimesNewRoman" w:cs="TimesNewRoman"/>
                <w:kern w:val="0"/>
                <w:sz w:val="20"/>
              </w:rPr>
            </w:pPr>
            <w:r>
              <w:rPr>
                <w:rFonts w:hint="default" w:ascii="TimesNewRoman" w:hAnsi="TimesNewRoman" w:cs="TimesNewRoman"/>
                <w:kern w:val="0"/>
                <w:sz w:val="20"/>
              </w:rPr>
              <w:t>　</w:t>
            </w: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default" w:ascii="TimesNewRoman" w:hAnsi="TimesNewRoman" w:cs="TimesNewRoman"/>
          <w:kern w:val="0"/>
          <w:sz w:val="22"/>
        </w:rPr>
        <w:t>注：“</w:t>
      </w:r>
      <w:r>
        <w:rPr>
          <w:rFonts w:hint="eastAsia" w:ascii="TimesNewRoman" w:hAnsi="TimesNewRoman" w:cs="TimesNewRoman"/>
          <w:kern w:val="0"/>
          <w:sz w:val="24"/>
          <w:lang w:val="en-US" w:eastAsia="zh-CN"/>
        </w:rPr>
        <w:t>淮南市谢家集区妇女联合会</w:t>
      </w:r>
      <w:r>
        <w:rPr>
          <w:rFonts w:hint="default" w:ascii="TimesNewRoman" w:hAnsi="TimesNewRoman" w:cs="TimesNewRoman"/>
          <w:kern w:val="0"/>
          <w:sz w:val="22"/>
        </w:rPr>
        <w:t>没有使用一般公共预算拨款、政府性基金预算拨款、国有资本经营预算拨款、财政专户管理资金和单位资金安排的政府采购支出，故本表无数据”。</w:t>
      </w: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keepNext w:val="0"/>
        <w:keepLines w:val="0"/>
        <w:pageBreakBefore w:val="0"/>
        <w:kinsoku/>
        <w:overflowPunct/>
        <w:topLinePunct w:val="0"/>
        <w:autoSpaceDE/>
        <w:autoSpaceDN/>
        <w:bidi w:val="0"/>
        <w:spacing w:line="560" w:lineRule="exact"/>
        <w:rPr>
          <w:rFonts w:hint="default" w:ascii="TimesNewRoman" w:hAnsi="TimesNewRoman" w:cs="TimesNewRoman"/>
        </w:rPr>
      </w:pPr>
    </w:p>
    <w:p>
      <w:pPr>
        <w:pStyle w:val="6"/>
        <w:keepNext w:val="0"/>
        <w:keepLines w:val="0"/>
        <w:pageBreakBefore w:val="0"/>
        <w:kinsoku/>
        <w:wordWrap w:val="0"/>
        <w:overflowPunct/>
        <w:topLinePunct w:val="0"/>
        <w:autoSpaceDE/>
        <w:autoSpaceDN/>
        <w:bidi w:val="0"/>
        <w:adjustRightInd w:val="0"/>
        <w:snapToGrid w:val="0"/>
        <w:spacing w:line="560" w:lineRule="exact"/>
        <w:jc w:val="right"/>
        <w:rPr>
          <w:rFonts w:hint="default" w:ascii="TimesNewRoman" w:hAnsi="TimesNewRoman" w:cs="TimesNewRoman"/>
          <w:sz w:val="20"/>
          <w:szCs w:val="20"/>
        </w:rPr>
        <w:sectPr>
          <w:pgSz w:w="11906" w:h="16838"/>
          <w:pgMar w:top="1440" w:right="1797" w:bottom="1440" w:left="1797"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pStyle w:val="6"/>
        <w:keepNext w:val="0"/>
        <w:keepLines w:val="0"/>
        <w:pageBreakBefore w:val="0"/>
        <w:kinsoku/>
        <w:wordWrap w:val="0"/>
        <w:overflowPunct/>
        <w:topLinePunct w:val="0"/>
        <w:autoSpaceDE/>
        <w:autoSpaceDN/>
        <w:bidi w:val="0"/>
        <w:adjustRightInd w:val="0"/>
        <w:snapToGrid w:val="0"/>
        <w:spacing w:line="560" w:lineRule="exact"/>
        <w:jc w:val="center"/>
        <w:rPr>
          <w:rFonts w:hint="default" w:ascii="TimesNewRoman" w:hAnsi="TimesNewRoman" w:cs="TimesNewRoman"/>
          <w:sz w:val="20"/>
          <w:szCs w:val="20"/>
        </w:rPr>
      </w:pPr>
      <w:r>
        <w:rPr>
          <w:rFonts w:hint="eastAsia" w:ascii="TimesNewRoman" w:hAnsi="TimesNewRoman" w:cs="TimesNewRoman"/>
          <w:sz w:val="20"/>
          <w:szCs w:val="20"/>
          <w:lang w:val="en-US" w:eastAsia="zh-CN"/>
        </w:rPr>
        <w:t xml:space="preserve">                                                                                                          </w:t>
      </w:r>
      <w:r>
        <w:rPr>
          <w:rFonts w:hint="default" w:ascii="TimesNewRoman" w:hAnsi="TimesNewRoman" w:cs="TimesNewRoman"/>
          <w:sz w:val="20"/>
          <w:szCs w:val="20"/>
        </w:rPr>
        <w:t>部门</w:t>
      </w:r>
      <w:r>
        <w:rPr>
          <w:rFonts w:hint="default" w:ascii="TimesNewRoman" w:hAnsi="TimesNewRoman" w:cs="TimesNewRoman"/>
          <w:sz w:val="20"/>
          <w:szCs w:val="20"/>
          <w:u w:val="single"/>
        </w:rPr>
        <w:t>（单位）</w:t>
      </w:r>
      <w:r>
        <w:rPr>
          <w:rFonts w:hint="default" w:ascii="TimesNewRoman" w:hAnsi="TimesNewRoman" w:cs="TimesNewRoman"/>
          <w:sz w:val="20"/>
          <w:szCs w:val="20"/>
        </w:rPr>
        <w:t>公开表11</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3"/>
        <w:gridCol w:w="1953"/>
        <w:gridCol w:w="1784"/>
        <w:gridCol w:w="1933"/>
        <w:gridCol w:w="2483"/>
        <w:gridCol w:w="1684"/>
        <w:gridCol w:w="1816"/>
        <w:gridCol w:w="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7" w:type="dxa"/>
          <w:trHeight w:val="525" w:hRule="atLeast"/>
          <w:jc w:val="center"/>
        </w:trPr>
        <w:tc>
          <w:tcPr>
            <w:tcW w:w="13726" w:type="dxa"/>
            <w:gridSpan w:val="7"/>
            <w:tcBorders>
              <w:top w:val="nil"/>
              <w:left w:val="nil"/>
              <w:bottom w:val="nil"/>
              <w:right w:val="nil"/>
            </w:tcBorders>
            <w:noWrap w:val="0"/>
            <w:vAlign w:val="center"/>
          </w:tcPr>
          <w:p>
            <w:pPr>
              <w:keepNext w:val="0"/>
              <w:keepLines w:val="0"/>
              <w:pageBreakBefore w:val="0"/>
              <w:widowControl/>
              <w:kinsoku/>
              <w:overflowPunct/>
              <w:topLinePunct w:val="0"/>
              <w:autoSpaceDE/>
              <w:autoSpaceDN/>
              <w:bidi w:val="0"/>
              <w:spacing w:line="560" w:lineRule="exact"/>
              <w:jc w:val="center"/>
              <w:rPr>
                <w:rFonts w:hint="default" w:ascii="TimesNewRoman" w:hAnsi="TimesNewRoman" w:eastAsia="华文中宋" w:cs="TimesNewRoman"/>
                <w:b/>
                <w:bCs/>
                <w:kern w:val="0"/>
                <w:szCs w:val="32"/>
              </w:rPr>
            </w:pPr>
            <w:r>
              <w:rPr>
                <w:rFonts w:hint="default" w:ascii="TimesNewRoman" w:hAnsi="TimesNewRoman" w:eastAsia="华文中宋" w:cs="TimesNewRoman"/>
                <w:b/>
                <w:bCs/>
                <w:kern w:val="0"/>
                <w:szCs w:val="32"/>
              </w:rPr>
              <w:t xml:space="preserve"> </w:t>
            </w:r>
            <w:r>
              <w:rPr>
                <w:rFonts w:hint="eastAsia" w:ascii="TimesNewRoman" w:hAnsi="TimesNewRoman" w:eastAsia="华文中宋" w:cs="TimesNewRoman"/>
                <w:b/>
                <w:bCs/>
                <w:kern w:val="0"/>
                <w:szCs w:val="32"/>
                <w:lang w:val="en-US" w:eastAsia="zh-CN"/>
              </w:rPr>
              <w:t>淮南市</w:t>
            </w:r>
            <w:r>
              <w:rPr>
                <w:rFonts w:hint="eastAsia" w:ascii="TimesNewRoman" w:hAnsi="TimesNewRoman" w:eastAsia="华文中宋" w:cs="TimesNewRoman"/>
                <w:b/>
                <w:bCs/>
                <w:kern w:val="0"/>
                <w:szCs w:val="32"/>
                <w:lang w:eastAsia="zh-CN"/>
              </w:rPr>
              <w:t>谢家集区</w:t>
            </w:r>
            <w:r>
              <w:rPr>
                <w:rFonts w:hint="eastAsia" w:ascii="TimesNewRoman" w:hAnsi="TimesNewRoman" w:eastAsia="华文中宋" w:cs="TimesNewRoman"/>
                <w:b/>
                <w:bCs/>
                <w:kern w:val="0"/>
                <w:szCs w:val="32"/>
                <w:lang w:val="en-US" w:eastAsia="zh-CN"/>
              </w:rPr>
              <w:t>妇女联合会</w:t>
            </w:r>
            <w:r>
              <w:rPr>
                <w:rFonts w:hint="default" w:ascii="TimesNewRoman" w:hAnsi="TimesNewRoman" w:eastAsia="华文中宋" w:cs="TimesNewRoman"/>
                <w:b/>
                <w:bCs/>
                <w:kern w:val="0"/>
                <w:szCs w:val="32"/>
              </w:rPr>
              <w:t>202</w:t>
            </w:r>
            <w:r>
              <w:rPr>
                <w:rFonts w:hint="eastAsia" w:ascii="TimesNewRoman" w:hAnsi="TimesNewRoman" w:eastAsia="华文中宋" w:cs="TimesNewRoman"/>
                <w:b/>
                <w:bCs/>
                <w:kern w:val="0"/>
                <w:szCs w:val="32"/>
                <w:lang w:val="en-US" w:eastAsia="zh-CN"/>
              </w:rPr>
              <w:t>4</w:t>
            </w:r>
            <w:r>
              <w:rPr>
                <w:rFonts w:hint="default" w:ascii="TimesNewRoman" w:hAnsi="TimesNewRoman" w:eastAsia="华文中宋" w:cs="TimesNewRoman"/>
                <w:b/>
                <w:bCs/>
                <w:kern w:val="0"/>
                <w:szCs w:val="32"/>
              </w:rPr>
              <w:t>年政府购买服务支出表</w:t>
            </w:r>
          </w:p>
          <w:p>
            <w:pPr>
              <w:keepNext w:val="0"/>
              <w:keepLines w:val="0"/>
              <w:pageBreakBefore w:val="0"/>
              <w:widowControl/>
              <w:kinsoku/>
              <w:overflowPunct/>
              <w:topLinePunct w:val="0"/>
              <w:autoSpaceDE/>
              <w:autoSpaceDN/>
              <w:bidi w:val="0"/>
              <w:spacing w:line="560" w:lineRule="exact"/>
              <w:jc w:val="center"/>
              <w:rPr>
                <w:rFonts w:hint="default" w:ascii="TimesNewRoman" w:hAnsi="TimesNewRoman" w:cs="TimesNewRoman"/>
                <w:kern w:val="0"/>
                <w:sz w:val="20"/>
              </w:rPr>
            </w:pPr>
            <w:r>
              <w:rPr>
                <w:rFonts w:hint="default" w:ascii="TimesNewRoman" w:hAnsi="TimesNewRoman" w:cs="TimesNewRoman"/>
                <w:kern w:val="0"/>
                <w:sz w:val="20"/>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项目名称</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一级目录名称</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二级目录名称</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三级目录名称</w:t>
            </w:r>
          </w:p>
        </w:tc>
        <w:tc>
          <w:tcPr>
            <w:tcW w:w="24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政府购买服务内容</w:t>
            </w:r>
          </w:p>
        </w:tc>
        <w:tc>
          <w:tcPr>
            <w:tcW w:w="1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购买数量</w:t>
            </w:r>
          </w:p>
        </w:tc>
        <w:tc>
          <w:tcPr>
            <w:tcW w:w="183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overflowPunct/>
              <w:topLinePunct w:val="0"/>
              <w:autoSpaceDE/>
              <w:autoSpaceDN/>
              <w:bidi w:val="0"/>
              <w:spacing w:line="560" w:lineRule="exact"/>
              <w:jc w:val="center"/>
              <w:textAlignment w:val="center"/>
              <w:rPr>
                <w:rFonts w:hint="default" w:ascii="TimesNewRoman" w:hAnsi="TimesNewRoman" w:cs="TimesNewRoman"/>
                <w:b/>
                <w:sz w:val="20"/>
              </w:rPr>
            </w:pPr>
            <w:r>
              <w:rPr>
                <w:rFonts w:hint="default" w:ascii="TimesNewRoman" w:hAnsi="TimesNewRoman" w:cs="TimesNewRoman"/>
                <w:b/>
                <w:kern w:val="0"/>
                <w:sz w:val="20"/>
                <w:lang w:bidi="ar"/>
              </w:rPr>
              <w:t>购买金额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24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left"/>
              <w:rPr>
                <w:rFonts w:hint="default" w:ascii="TimesNewRoman" w:hAnsi="TimesNewRoman" w:cs="TimesNewRoman"/>
                <w:sz w:val="20"/>
              </w:rPr>
            </w:pPr>
          </w:p>
        </w:tc>
        <w:tc>
          <w:tcPr>
            <w:tcW w:w="1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right"/>
              <w:rPr>
                <w:rFonts w:hint="default" w:ascii="TimesNewRoman" w:hAnsi="TimesNewRoman" w:cs="TimesNewRoman"/>
                <w:sz w:val="20"/>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right"/>
              <w:rPr>
                <w:rFonts w:hint="default" w:ascii="TimesNewRoman" w:hAnsi="TimesNewRoman" w:cs="TimesNewRoman"/>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jc w:val="center"/>
        </w:trPr>
        <w:tc>
          <w:tcPr>
            <w:tcW w:w="20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overflowPunct/>
              <w:topLinePunct w:val="0"/>
              <w:autoSpaceDE/>
              <w:autoSpaceDN/>
              <w:bidi w:val="0"/>
              <w:spacing w:line="560" w:lineRule="exact"/>
              <w:jc w:val="center"/>
              <w:rPr>
                <w:rFonts w:hint="default" w:ascii="TimesNewRoman" w:hAnsi="TimesNewRoman" w:cs="TimesNewRoman"/>
                <w:b/>
                <w:sz w:val="20"/>
              </w:rPr>
            </w:pPr>
            <w:r>
              <w:rPr>
                <w:rFonts w:hint="default" w:ascii="TimesNewRoman" w:hAnsi="TimesNewRoman" w:cs="TimesNewRoman"/>
                <w:b/>
                <w:sz w:val="20"/>
              </w:rPr>
              <w:t>合</w:t>
            </w:r>
            <w:r>
              <w:rPr>
                <w:rFonts w:hint="eastAsia" w:ascii="TimesNewRoman" w:hAnsi="TimesNewRoman" w:cs="TimesNewRoman"/>
                <w:b/>
                <w:sz w:val="20"/>
                <w:lang w:val="en-US" w:eastAsia="zh-CN"/>
              </w:rPr>
              <w:t xml:space="preserve"> </w:t>
            </w:r>
            <w:r>
              <w:rPr>
                <w:rFonts w:hint="default" w:ascii="TimesNewRoman" w:hAnsi="TimesNewRoman" w:cs="TimesNewRoman"/>
                <w:b/>
                <w:sz w:val="20"/>
              </w:rPr>
              <w:t>计</w:t>
            </w:r>
          </w:p>
        </w:tc>
        <w:tc>
          <w:tcPr>
            <w:tcW w:w="195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7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93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2483"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684" w:type="dxa"/>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c>
          <w:tcPr>
            <w:tcW w:w="1833" w:type="dxa"/>
            <w:gridSpan w:val="2"/>
            <w:tcBorders>
              <w:top w:val="single" w:color="000000" w:sz="4" w:space="0"/>
              <w:left w:val="single" w:color="000000" w:sz="4" w:space="0"/>
              <w:bottom w:val="single" w:color="000000" w:sz="4" w:space="0"/>
              <w:right w:val="single" w:color="000000" w:sz="4" w:space="0"/>
            </w:tcBorders>
            <w:noWrap w:val="0"/>
            <w:vAlign w:val="bottom"/>
          </w:tcPr>
          <w:p>
            <w:pPr>
              <w:keepNext w:val="0"/>
              <w:keepLines w:val="0"/>
              <w:pageBreakBefore w:val="0"/>
              <w:kinsoku/>
              <w:overflowPunct/>
              <w:topLinePunct w:val="0"/>
              <w:autoSpaceDE/>
              <w:autoSpaceDN/>
              <w:bidi w:val="0"/>
              <w:spacing w:line="560" w:lineRule="exact"/>
              <w:rPr>
                <w:rFonts w:hint="default" w:ascii="TimesNewRoman" w:hAnsi="TimesNewRoman" w:cs="TimesNewRoman"/>
                <w:sz w:val="18"/>
                <w:szCs w:val="18"/>
              </w:rPr>
            </w:pPr>
          </w:p>
        </w:tc>
      </w:tr>
    </w:tbl>
    <w:p>
      <w:pPr>
        <w:keepNext w:val="0"/>
        <w:keepLines w:val="0"/>
        <w:pageBreakBefore w:val="0"/>
        <w:kinsoku/>
        <w:overflowPunct/>
        <w:topLinePunct w:val="0"/>
        <w:autoSpaceDE/>
        <w:autoSpaceDN/>
        <w:bidi w:val="0"/>
        <w:spacing w:line="560" w:lineRule="exact"/>
        <w:rPr>
          <w:rFonts w:hint="default" w:ascii="TimesNewRoman" w:hAnsi="TimesNewRoman" w:cs="TimesNewRoman"/>
          <w:kern w:val="0"/>
          <w:sz w:val="22"/>
        </w:rPr>
      </w:pPr>
      <w:r>
        <w:rPr>
          <w:rFonts w:hint="default" w:ascii="TimesNewRoman" w:hAnsi="TimesNewRoman" w:cs="TimesNewRoman"/>
          <w:kern w:val="0"/>
          <w:sz w:val="22"/>
        </w:rPr>
        <w:t>注：“</w:t>
      </w:r>
      <w:r>
        <w:rPr>
          <w:rFonts w:hint="eastAsia" w:ascii="TimesNewRoman" w:hAnsi="TimesNewRoman" w:cs="TimesNewRoman"/>
          <w:kern w:val="0"/>
          <w:sz w:val="24"/>
          <w:lang w:val="en-US" w:eastAsia="zh-CN"/>
        </w:rPr>
        <w:t>淮南市谢家集区妇女联合会</w:t>
      </w:r>
      <w:r>
        <w:rPr>
          <w:rFonts w:hint="default" w:ascii="TimesNewRoman" w:hAnsi="TimesNewRoman" w:cs="TimesNewRoman"/>
          <w:kern w:val="0"/>
          <w:sz w:val="22"/>
        </w:rPr>
        <w:t>没有安排政府购买服务支出，故本表无数据”。</w:t>
      </w:r>
    </w:p>
    <w:p>
      <w:pPr>
        <w:pStyle w:val="6"/>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NewRoman" w:hAnsi="TimesNewRoman" w:eastAsia="楷体_GB2312" w:cs="TimesNewRoman"/>
          <w:bCs/>
          <w:sz w:val="32"/>
          <w:szCs w:val="32"/>
        </w:rPr>
      </w:pPr>
    </w:p>
    <w:p>
      <w:pPr>
        <w:pStyle w:val="6"/>
        <w:keepNext w:val="0"/>
        <w:keepLines w:val="0"/>
        <w:pageBreakBefore w:val="0"/>
        <w:kinsoku/>
        <w:overflowPunct/>
        <w:topLinePunct w:val="0"/>
        <w:autoSpaceDE/>
        <w:autoSpaceDN/>
        <w:bidi w:val="0"/>
        <w:adjustRightInd w:val="0"/>
        <w:snapToGrid w:val="0"/>
        <w:spacing w:line="560" w:lineRule="exact"/>
        <w:jc w:val="center"/>
        <w:rPr>
          <w:rFonts w:hint="default" w:ascii="TimesNewRoman" w:hAnsi="TimesNewRoman" w:eastAsia="黑体" w:cs="TimesNewRoman"/>
          <w:bCs/>
          <w:sz w:val="36"/>
          <w:szCs w:val="36"/>
        </w:rPr>
        <w:sectPr>
          <w:pgSz w:w="16838" w:h="11906" w:orient="landscape"/>
          <w:pgMar w:top="1797" w:right="1440" w:bottom="1797" w:left="1440" w:header="850" w:footer="992" w:gutter="0"/>
          <w:pgBorders>
            <w:top w:val="none" w:sz="0" w:space="0"/>
            <w:left w:val="none" w:sz="0" w:space="0"/>
            <w:bottom w:val="none" w:sz="0" w:space="0"/>
            <w:right w:val="none" w:sz="0" w:space="0"/>
          </w:pgBorders>
          <w:pgNumType w:fmt="numberInDash"/>
          <w:cols w:space="720" w:num="1"/>
          <w:rtlGutter w:val="0"/>
          <w:docGrid w:type="linesAndChars" w:linePitch="437" w:charSpace="2555"/>
        </w:sectPr>
      </w:pPr>
    </w:p>
    <w:p>
      <w:pPr>
        <w:pStyle w:val="6"/>
        <w:numPr>
          <w:ilvl w:val="0"/>
          <w:numId w:val="0"/>
        </w:numPr>
        <w:adjustRightInd w:val="0"/>
        <w:snapToGrid w:val="0"/>
        <w:spacing w:before="0" w:beforeAutospacing="0" w:after="0" w:afterAutospacing="0" w:line="360" w:lineRule="auto"/>
        <w:jc w:val="both"/>
        <w:rPr>
          <w:rFonts w:ascii="宋体" w:hAnsi="宋体" w:cs="宋体"/>
          <w:kern w:val="0"/>
          <w:sz w:val="20"/>
          <w:szCs w:val="20"/>
        </w:rPr>
      </w:pPr>
      <w:r>
        <w:rPr>
          <w:rFonts w:ascii="宋体" w:hAnsi="宋体" w:cs="宋体"/>
          <w:kern w:val="0"/>
          <w:sz w:val="20"/>
          <w:szCs w:val="20"/>
        </w:rPr>
        <w:t xml:space="preserve">     </w:t>
      </w:r>
    </w:p>
    <w:p>
      <w:pPr>
        <w:pStyle w:val="6"/>
        <w:numPr>
          <w:ilvl w:val="0"/>
          <w:numId w:val="0"/>
        </w:numPr>
        <w:adjustRightInd w:val="0"/>
        <w:snapToGrid w:val="0"/>
        <w:spacing w:before="0" w:beforeAutospacing="0" w:after="0" w:afterAutospacing="0" w:line="360" w:lineRule="auto"/>
        <w:ind w:firstLine="1440" w:firstLineChars="400"/>
        <w:jc w:val="both"/>
        <w:rPr>
          <w:rFonts w:ascii="黑体" w:hAnsi="黑体" w:eastAsia="黑体"/>
          <w:bCs/>
          <w:sz w:val="36"/>
          <w:szCs w:val="36"/>
        </w:rPr>
      </w:pPr>
      <w:r>
        <w:rPr>
          <w:rFonts w:hint="eastAsia" w:ascii="黑体" w:hAnsi="黑体" w:eastAsia="黑体"/>
          <w:bCs/>
          <w:sz w:val="36"/>
          <w:szCs w:val="36"/>
        </w:rPr>
        <w:t>第三部分</w:t>
      </w:r>
      <w:r>
        <w:rPr>
          <w:rFonts w:ascii="黑体" w:hAnsi="黑体" w:eastAsia="黑体"/>
          <w:bCs/>
          <w:sz w:val="36"/>
          <w:szCs w:val="36"/>
        </w:rPr>
        <w:t xml:space="preserve"> 202</w:t>
      </w:r>
      <w:r>
        <w:rPr>
          <w:rFonts w:hint="eastAsia" w:ascii="黑体" w:hAnsi="黑体" w:eastAsia="黑体"/>
          <w:bCs/>
          <w:sz w:val="36"/>
          <w:szCs w:val="36"/>
          <w:lang w:val="en-US" w:eastAsia="zh-CN"/>
        </w:rPr>
        <w:t>4</w:t>
      </w:r>
      <w:r>
        <w:rPr>
          <w:rFonts w:hint="eastAsia" w:ascii="黑体" w:hAnsi="黑体" w:eastAsia="黑体"/>
          <w:bCs/>
          <w:sz w:val="36"/>
          <w:szCs w:val="36"/>
        </w:rPr>
        <w:t>年部门预算情况说明</w:t>
      </w:r>
    </w:p>
    <w:p>
      <w:pPr>
        <w:pStyle w:val="6"/>
        <w:adjustRightInd w:val="0"/>
        <w:snapToGrid w:val="0"/>
        <w:spacing w:before="0" w:beforeAutospacing="0" w:after="0" w:afterAutospacing="0" w:line="600" w:lineRule="exact"/>
        <w:rPr>
          <w:rFonts w:ascii="黑体" w:hAnsi="黑体" w:eastAsia="黑体"/>
          <w:bCs/>
          <w:sz w:val="32"/>
          <w:szCs w:val="32"/>
        </w:rPr>
      </w:pPr>
    </w:p>
    <w:p>
      <w:pPr>
        <w:pStyle w:val="6"/>
        <w:adjustRightInd w:val="0"/>
        <w:snapToGrid w:val="0"/>
        <w:spacing w:before="0" w:beforeAutospacing="0" w:after="0" w:afterAutospacing="0" w:line="600" w:lineRule="exact"/>
        <w:ind w:firstLine="640" w:firstLineChars="200"/>
        <w:rPr>
          <w:rFonts w:ascii="黑体" w:hAnsi="仿宋" w:eastAsia="黑体"/>
          <w:color w:val="000000"/>
          <w:sz w:val="32"/>
          <w:szCs w:val="32"/>
        </w:rPr>
      </w:pPr>
      <w:r>
        <w:rPr>
          <w:rFonts w:hint="eastAsia" w:ascii="黑体" w:hAnsi="仿宋" w:eastAsia="黑体"/>
          <w:color w:val="000000"/>
          <w:sz w:val="32"/>
          <w:szCs w:val="32"/>
        </w:rPr>
        <w:t>一、关于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年收支总表的说明</w:t>
      </w:r>
    </w:p>
    <w:p>
      <w:pPr>
        <w:pStyle w:val="6"/>
        <w:adjustRightInd w:val="0"/>
        <w:snapToGrid w:val="0"/>
        <w:spacing w:before="0" w:beforeAutospacing="0" w:after="0" w:afterAutospacing="0" w:line="600" w:lineRule="exact"/>
        <w:ind w:firstLine="627" w:firstLineChars="196"/>
        <w:jc w:val="both"/>
        <w:rPr>
          <w:rFonts w:ascii="仿宋_GB2312" w:hAnsi="仿宋" w:eastAsia="仿宋_GB2312"/>
          <w:sz w:val="32"/>
          <w:szCs w:val="32"/>
        </w:rPr>
      </w:pPr>
      <w:r>
        <w:rPr>
          <w:rFonts w:hint="eastAsia" w:ascii="仿宋_GB2312" w:hAnsi="仿宋" w:eastAsia="仿宋_GB2312"/>
          <w:sz w:val="32"/>
          <w:szCs w:val="32"/>
        </w:rPr>
        <w:t>按照综合预算的原则，</w:t>
      </w: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hint="eastAsia" w:ascii="仿宋_GB2312" w:hAnsi="仿宋" w:eastAsia="仿宋_GB2312"/>
          <w:sz w:val="32"/>
          <w:szCs w:val="32"/>
        </w:rPr>
        <w:t>所有收入和支出均纳入部门预算管理。</w:t>
      </w: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年收支总预算</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万元，收入包括一般公共预算拨款收入</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w:t>
      </w:r>
      <w:r>
        <w:rPr>
          <w:rFonts w:hint="eastAsia" w:ascii="仿宋_GB2312" w:hAnsi="仿宋" w:eastAsia="仿宋_GB2312"/>
          <w:sz w:val="32"/>
          <w:szCs w:val="32"/>
        </w:rPr>
        <w:t>支出包括：一般公共服务支出</w:t>
      </w:r>
      <w:r>
        <w:rPr>
          <w:rFonts w:hint="eastAsia" w:ascii="仿宋_GB2312" w:hAnsi="仿宋" w:eastAsia="仿宋_GB2312"/>
          <w:sz w:val="32"/>
          <w:szCs w:val="32"/>
          <w:lang w:val="en-US" w:eastAsia="zh-CN"/>
        </w:rPr>
        <w:t>35.5万元</w:t>
      </w:r>
      <w:r>
        <w:rPr>
          <w:rFonts w:hint="eastAsia" w:ascii="仿宋_GB2312" w:hAnsi="仿宋" w:eastAsia="仿宋_GB2312"/>
          <w:sz w:val="32"/>
          <w:szCs w:val="32"/>
        </w:rPr>
        <w:t>、社会保障和就业支出</w:t>
      </w:r>
      <w:r>
        <w:rPr>
          <w:rFonts w:hint="eastAsia" w:ascii="仿宋_GB2312" w:hAnsi="仿宋" w:eastAsia="仿宋_GB2312"/>
          <w:sz w:val="32"/>
          <w:szCs w:val="32"/>
          <w:lang w:val="en-US" w:eastAsia="zh-CN"/>
        </w:rPr>
        <w:t>2.6万元</w:t>
      </w:r>
      <w:r>
        <w:rPr>
          <w:rFonts w:hint="eastAsia" w:ascii="仿宋_GB2312" w:hAnsi="仿宋" w:eastAsia="仿宋_GB2312"/>
          <w:sz w:val="32"/>
          <w:szCs w:val="32"/>
        </w:rPr>
        <w:t>、</w:t>
      </w:r>
      <w:r>
        <w:rPr>
          <w:rFonts w:hint="eastAsia" w:ascii="仿宋_GB2312" w:hAnsi="仿宋" w:eastAsia="仿宋_GB2312"/>
          <w:sz w:val="32"/>
          <w:szCs w:val="32"/>
          <w:lang w:val="en-US" w:eastAsia="zh-CN"/>
        </w:rPr>
        <w:t>卫生健康支出1.1万元、</w:t>
      </w:r>
      <w:r>
        <w:rPr>
          <w:rFonts w:hint="eastAsia" w:ascii="仿宋_GB2312" w:hAnsi="仿宋" w:eastAsia="仿宋_GB2312"/>
          <w:sz w:val="32"/>
          <w:szCs w:val="32"/>
        </w:rPr>
        <w:t>住房保障支出</w:t>
      </w:r>
      <w:r>
        <w:rPr>
          <w:rFonts w:hint="eastAsia" w:ascii="仿宋_GB2312" w:hAnsi="仿宋" w:eastAsia="仿宋_GB2312"/>
          <w:sz w:val="32"/>
          <w:szCs w:val="32"/>
          <w:lang w:val="en-US" w:eastAsia="zh-CN"/>
        </w:rPr>
        <w:t>2.4万元</w:t>
      </w:r>
      <w:r>
        <w:rPr>
          <w:rFonts w:hint="eastAsia" w:ascii="仿宋_GB2312" w:hAnsi="仿宋" w:eastAsia="仿宋_GB2312"/>
          <w:sz w:val="32"/>
          <w:szCs w:val="32"/>
        </w:rPr>
        <w:t>。</w:t>
      </w:r>
    </w:p>
    <w:p>
      <w:pPr>
        <w:pStyle w:val="6"/>
        <w:adjustRightInd w:val="0"/>
        <w:snapToGrid w:val="0"/>
        <w:spacing w:before="0" w:beforeAutospacing="0" w:after="0" w:afterAutospacing="0" w:line="600" w:lineRule="exact"/>
        <w:ind w:firstLine="627" w:firstLineChars="196"/>
        <w:rPr>
          <w:rFonts w:ascii="黑体" w:hAnsi="仿宋" w:eastAsia="黑体"/>
          <w:color w:val="000000"/>
          <w:sz w:val="32"/>
          <w:szCs w:val="32"/>
        </w:rPr>
      </w:pPr>
      <w:r>
        <w:rPr>
          <w:rFonts w:hint="eastAsia" w:ascii="黑体" w:hAnsi="仿宋" w:eastAsia="黑体"/>
          <w:color w:val="000000"/>
          <w:sz w:val="32"/>
          <w:szCs w:val="32"/>
        </w:rPr>
        <w:t>二、关于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年收入总表的说明</w:t>
      </w:r>
    </w:p>
    <w:p>
      <w:pPr>
        <w:adjustRightInd w:val="0"/>
        <w:snapToGrid w:val="0"/>
        <w:spacing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年收入预算</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万元，其中，本年收入</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万元，上年结转结余</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numPr>
          <w:ilvl w:val="0"/>
          <w:numId w:val="3"/>
        </w:numPr>
        <w:adjustRightInd w:val="0"/>
        <w:snapToGrid w:val="0"/>
        <w:spacing w:line="600" w:lineRule="exact"/>
        <w:ind w:left="-10" w:leftChars="0" w:firstLine="640" w:firstLineChars="0"/>
        <w:rPr>
          <w:rFonts w:hint="eastAsia" w:ascii="仿宋_GB2312" w:hAnsi="仿宋" w:eastAsia="仿宋_GB2312"/>
          <w:sz w:val="32"/>
          <w:szCs w:val="32"/>
        </w:rPr>
      </w:pPr>
      <w:r>
        <w:rPr>
          <w:rFonts w:hint="eastAsia" w:ascii="仿宋_GB2312" w:hAnsi="仿宋" w:eastAsia="仿宋_GB2312"/>
          <w:sz w:val="32"/>
          <w:szCs w:val="32"/>
        </w:rPr>
        <w:t>本年收入</w:t>
      </w:r>
      <w:r>
        <w:rPr>
          <w:rFonts w:hint="eastAsia" w:ascii="仿宋_GB2312" w:hAnsi="仿宋" w:eastAsia="仿宋_GB2312"/>
          <w:sz w:val="32"/>
          <w:szCs w:val="32"/>
          <w:lang w:val="en-US" w:eastAsia="zh-CN"/>
        </w:rPr>
        <w:t>全部为</w:t>
      </w:r>
      <w:r>
        <w:rPr>
          <w:rFonts w:hint="eastAsia" w:ascii="仿宋_GB2312" w:hAnsi="仿宋" w:eastAsia="仿宋_GB2312"/>
          <w:sz w:val="32"/>
          <w:szCs w:val="32"/>
        </w:rPr>
        <w:t>一般公共预算拨款收入</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增加18</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增加43.4</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今年预算包括区级专项经费和上级项目资金。</w:t>
      </w:r>
    </w:p>
    <w:p>
      <w:pPr>
        <w:numPr>
          <w:ilvl w:val="0"/>
          <w:numId w:val="3"/>
        </w:numPr>
        <w:adjustRightInd w:val="0"/>
        <w:snapToGrid w:val="0"/>
        <w:spacing w:line="600" w:lineRule="exact"/>
        <w:ind w:left="-10" w:leftChars="0" w:firstLine="640" w:firstLineChars="0"/>
        <w:rPr>
          <w:rFonts w:ascii="仿宋_GB2312" w:hAnsi="仿宋" w:eastAsia="仿宋_GB2312"/>
          <w:sz w:val="32"/>
          <w:szCs w:val="32"/>
        </w:rPr>
      </w:pPr>
      <w:r>
        <w:rPr>
          <w:rFonts w:hint="eastAsia" w:ascii="仿宋_GB2312" w:hAnsi="仿宋" w:eastAsia="仿宋_GB2312"/>
          <w:sz w:val="32"/>
          <w:szCs w:val="32"/>
        </w:rPr>
        <w:t>上年结转结余</w:t>
      </w:r>
      <w:r>
        <w:rPr>
          <w:rFonts w:hint="eastAsia" w:ascii="仿宋_GB2312" w:hAnsi="仿宋" w:eastAsia="仿宋_GB2312"/>
          <w:sz w:val="32"/>
          <w:szCs w:val="32"/>
          <w:lang w:val="en-US" w:eastAsia="zh-CN"/>
        </w:rPr>
        <w:t>0</w:t>
      </w:r>
      <w:r>
        <w:rPr>
          <w:rFonts w:hint="eastAsia" w:ascii="仿宋_GB2312" w:hAnsi="仿宋" w:eastAsia="仿宋_GB2312"/>
          <w:sz w:val="32"/>
          <w:szCs w:val="32"/>
        </w:rPr>
        <w:t>万元，</w:t>
      </w:r>
    </w:p>
    <w:p>
      <w:pPr>
        <w:adjustRightInd w:val="0"/>
        <w:snapToGrid w:val="0"/>
        <w:spacing w:line="600" w:lineRule="exact"/>
        <w:ind w:firstLine="640"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三、关于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年支出总表的说明</w:t>
      </w:r>
    </w:p>
    <w:p>
      <w:pPr>
        <w:adjustRightInd w:val="0"/>
        <w:snapToGrid w:val="0"/>
        <w:spacing w:line="600" w:lineRule="exact"/>
        <w:ind w:firstLine="640" w:firstLineChars="200"/>
        <w:rPr>
          <w:rFonts w:hint="eastAsia" w:ascii="仿宋" w:hAnsi="仿宋" w:eastAsia="仿宋" w:cs="Times New Roman"/>
          <w:kern w:val="2"/>
          <w:sz w:val="32"/>
          <w:szCs w:val="32"/>
          <w:lang w:val="en-US" w:eastAsia="zh-CN"/>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年支出预算</w:t>
      </w:r>
      <w:r>
        <w:rPr>
          <w:rFonts w:hint="eastAsia" w:ascii="仿宋_GB2312" w:hAnsi="仿宋" w:eastAsia="仿宋_GB2312"/>
          <w:sz w:val="32"/>
          <w:szCs w:val="32"/>
          <w:lang w:val="en-US" w:eastAsia="zh-CN"/>
        </w:rPr>
        <w:t>41.5</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增加18</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增加43.4</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今年预算包括区级专项经费和上级项目资金。</w:t>
      </w:r>
      <w:r>
        <w:rPr>
          <w:rFonts w:hint="eastAsia" w:ascii="仿宋_GB2312" w:hAnsi="仿宋" w:eastAsia="仿宋_GB2312"/>
          <w:sz w:val="32"/>
          <w:szCs w:val="32"/>
        </w:rPr>
        <w:t>其中，基本支出</w:t>
      </w:r>
      <w:r>
        <w:rPr>
          <w:rFonts w:hint="eastAsia" w:ascii="仿宋_GB2312" w:hAnsi="仿宋" w:eastAsia="仿宋_GB2312"/>
          <w:sz w:val="32"/>
          <w:szCs w:val="32"/>
          <w:lang w:val="en-US" w:eastAsia="zh-CN"/>
        </w:rPr>
        <w:t>20.6</w:t>
      </w:r>
      <w:r>
        <w:rPr>
          <w:rFonts w:hint="eastAsia" w:ascii="仿宋_GB2312" w:hAnsi="仿宋" w:eastAsia="仿宋_GB2312"/>
          <w:sz w:val="32"/>
          <w:szCs w:val="32"/>
        </w:rPr>
        <w:t>万元，占</w:t>
      </w:r>
      <w:r>
        <w:rPr>
          <w:rFonts w:hint="eastAsia" w:ascii="仿宋_GB2312" w:hAnsi="仿宋" w:eastAsia="仿宋_GB2312"/>
          <w:sz w:val="32"/>
          <w:szCs w:val="32"/>
          <w:lang w:val="en-US" w:eastAsia="zh-CN"/>
        </w:rPr>
        <w:t>49.6</w:t>
      </w:r>
      <w:r>
        <w:rPr>
          <w:rFonts w:ascii="仿宋_GB2312" w:hAnsi="仿宋" w:eastAsia="仿宋_GB2312"/>
          <w:sz w:val="32"/>
          <w:szCs w:val="32"/>
        </w:rPr>
        <w:t>%</w:t>
      </w:r>
      <w:r>
        <w:rPr>
          <w:rFonts w:hint="eastAsia" w:ascii="仿宋_GB2312" w:hAnsi="仿宋" w:eastAsia="仿宋_GB2312"/>
          <w:sz w:val="32"/>
          <w:szCs w:val="32"/>
        </w:rPr>
        <w:t>，主要用于保障机构日常运转、完成日常工作任务</w:t>
      </w:r>
      <w:r>
        <w:rPr>
          <w:rFonts w:hint="eastAsia" w:ascii="仿宋" w:hAnsi="仿宋" w:eastAsia="仿宋" w:cs="Times New Roman"/>
          <w:kern w:val="2"/>
          <w:sz w:val="32"/>
          <w:szCs w:val="32"/>
          <w:lang w:val="en-US" w:eastAsia="zh-CN"/>
        </w:rPr>
        <w:t>；项目支出20.9万元，占50.4%，主要用于妇女儿童开展妇女宣传、维权信访、妇女（干）培训、家庭建设、志愿服务、两纲监测、妇女儿童帮扶等工作。</w:t>
      </w:r>
    </w:p>
    <w:p>
      <w:pPr>
        <w:adjustRightInd w:val="0"/>
        <w:snapToGrid w:val="0"/>
        <w:spacing w:line="600" w:lineRule="exact"/>
        <w:ind w:firstLine="640" w:firstLineChars="200"/>
        <w:rPr>
          <w:rFonts w:ascii="黑体" w:hAnsi="仿宋" w:eastAsia="黑体" w:cs="宋体"/>
          <w:color w:val="000000"/>
          <w:kern w:val="0"/>
          <w:sz w:val="32"/>
          <w:szCs w:val="32"/>
        </w:rPr>
      </w:pPr>
      <w:r>
        <w:rPr>
          <w:rFonts w:hint="eastAsia" w:ascii="黑体" w:hAnsi="仿宋" w:eastAsia="黑体" w:cs="宋体"/>
          <w:color w:val="000000"/>
          <w:kern w:val="0"/>
          <w:sz w:val="32"/>
          <w:szCs w:val="32"/>
        </w:rPr>
        <w:t>四、关于</w:t>
      </w:r>
      <w:r>
        <w:rPr>
          <w:rFonts w:ascii="黑体" w:hAnsi="仿宋" w:eastAsia="黑体" w:cs="宋体"/>
          <w:color w:val="000000"/>
          <w:kern w:val="0"/>
          <w:sz w:val="32"/>
          <w:szCs w:val="32"/>
        </w:rPr>
        <w:t>202</w:t>
      </w:r>
      <w:r>
        <w:rPr>
          <w:rFonts w:hint="eastAsia" w:ascii="黑体" w:hAnsi="仿宋" w:eastAsia="黑体" w:cs="宋体"/>
          <w:color w:val="000000"/>
          <w:kern w:val="0"/>
          <w:sz w:val="32"/>
          <w:szCs w:val="32"/>
          <w:lang w:val="en-US" w:eastAsia="zh-CN"/>
        </w:rPr>
        <w:t>4</w:t>
      </w:r>
      <w:r>
        <w:rPr>
          <w:rFonts w:hint="eastAsia" w:ascii="黑体" w:hAnsi="仿宋" w:eastAsia="黑体" w:cs="宋体"/>
          <w:color w:val="000000"/>
          <w:kern w:val="0"/>
          <w:sz w:val="32"/>
          <w:szCs w:val="32"/>
        </w:rPr>
        <w:t>年财政拨款收支总表的说明</w:t>
      </w:r>
    </w:p>
    <w:p>
      <w:pPr>
        <w:pStyle w:val="6"/>
        <w:adjustRightInd w:val="0"/>
        <w:snapToGrid w:val="0"/>
        <w:spacing w:before="0" w:beforeAutospacing="0" w:after="0" w:afterAutospacing="0" w:line="600" w:lineRule="exact"/>
        <w:ind w:firstLine="640" w:firstLineChars="200"/>
        <w:rPr>
          <w:rFonts w:ascii="仿宋_GB2312" w:hAnsi="仿宋" w:eastAsia="仿宋_GB2312" w:cs="Times New Roman"/>
          <w:kern w:val="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3</w:t>
      </w:r>
      <w:r>
        <w:rPr>
          <w:rFonts w:hint="eastAsia" w:ascii="仿宋_GB2312" w:hAnsi="仿宋" w:eastAsia="仿宋_GB2312" w:cs="Times New Roman"/>
          <w:kern w:val="2"/>
          <w:sz w:val="32"/>
          <w:szCs w:val="32"/>
        </w:rPr>
        <w:t>年财政拨款收支预算</w:t>
      </w:r>
      <w:r>
        <w:rPr>
          <w:rFonts w:hint="eastAsia" w:ascii="仿宋_GB2312" w:hAnsi="仿宋" w:eastAsia="仿宋_GB2312" w:cs="Times New Roman"/>
          <w:kern w:val="2"/>
          <w:sz w:val="32"/>
          <w:szCs w:val="32"/>
          <w:lang w:val="en-US" w:eastAsia="zh-CN"/>
        </w:rPr>
        <w:t>41.5</w:t>
      </w:r>
      <w:r>
        <w:rPr>
          <w:rFonts w:hint="eastAsia" w:ascii="仿宋_GB2312" w:hAnsi="仿宋" w:eastAsia="仿宋_GB2312" w:cs="Times New Roman"/>
          <w:kern w:val="2"/>
          <w:sz w:val="32"/>
          <w:szCs w:val="32"/>
        </w:rPr>
        <w:t>万元。收入按资金来源</w:t>
      </w:r>
      <w:r>
        <w:rPr>
          <w:rFonts w:hint="eastAsia" w:ascii="仿宋_GB2312" w:hAnsi="仿宋" w:eastAsia="仿宋_GB2312" w:cs="Times New Roman"/>
          <w:kern w:val="2"/>
          <w:sz w:val="32"/>
          <w:szCs w:val="32"/>
          <w:lang w:val="en-US" w:eastAsia="zh-CN"/>
        </w:rPr>
        <w:t>全部为</w:t>
      </w:r>
      <w:r>
        <w:rPr>
          <w:rFonts w:hint="eastAsia" w:ascii="仿宋_GB2312" w:hAnsi="仿宋" w:eastAsia="仿宋_GB2312" w:cs="Times New Roman"/>
          <w:kern w:val="2"/>
          <w:sz w:val="32"/>
          <w:szCs w:val="32"/>
        </w:rPr>
        <w:t>一般公共预算拨款</w:t>
      </w:r>
      <w:r>
        <w:rPr>
          <w:rFonts w:hint="eastAsia" w:ascii="仿宋_GB2312" w:hAnsi="仿宋" w:eastAsia="仿宋_GB2312" w:cs="Times New Roman"/>
          <w:kern w:val="2"/>
          <w:sz w:val="32"/>
          <w:szCs w:val="32"/>
          <w:lang w:val="en-US" w:eastAsia="zh-CN"/>
        </w:rPr>
        <w:t>41.5</w:t>
      </w:r>
      <w:r>
        <w:rPr>
          <w:rFonts w:hint="eastAsia" w:ascii="仿宋_GB2312" w:hAnsi="仿宋" w:eastAsia="仿宋_GB2312" w:cs="Times New Roman"/>
          <w:kern w:val="2"/>
          <w:sz w:val="32"/>
          <w:szCs w:val="32"/>
        </w:rPr>
        <w:t>万元</w:t>
      </w:r>
      <w:r>
        <w:rPr>
          <w:rFonts w:hint="eastAsia" w:ascii="仿宋_GB2312" w:hAnsi="仿宋" w:eastAsia="仿宋_GB2312" w:cs="Times New Roman"/>
          <w:kern w:val="2"/>
          <w:sz w:val="32"/>
          <w:szCs w:val="32"/>
          <w:lang w:eastAsia="zh-CN"/>
        </w:rPr>
        <w:t>。</w:t>
      </w:r>
      <w:r>
        <w:rPr>
          <w:rFonts w:hint="eastAsia" w:ascii="仿宋_GB2312" w:hAnsi="仿宋" w:eastAsia="仿宋_GB2312" w:cs="Times New Roman"/>
          <w:kern w:val="2"/>
          <w:sz w:val="32"/>
          <w:szCs w:val="32"/>
        </w:rPr>
        <w:t>按资金年度分为：本年财政拨款收入</w:t>
      </w:r>
      <w:r>
        <w:rPr>
          <w:rFonts w:hint="eastAsia" w:ascii="仿宋_GB2312" w:hAnsi="仿宋" w:eastAsia="仿宋_GB2312" w:cs="Times New Roman"/>
          <w:kern w:val="2"/>
          <w:sz w:val="32"/>
          <w:szCs w:val="32"/>
          <w:lang w:val="en-US" w:eastAsia="zh-CN"/>
        </w:rPr>
        <w:t>41.5</w:t>
      </w:r>
      <w:r>
        <w:rPr>
          <w:rFonts w:hint="eastAsia" w:ascii="仿宋_GB2312" w:hAnsi="仿宋" w:eastAsia="仿宋_GB2312" w:cs="Times New Roman"/>
          <w:kern w:val="2"/>
          <w:sz w:val="32"/>
          <w:szCs w:val="32"/>
        </w:rPr>
        <w:t>万元，上年结转收入</w:t>
      </w:r>
      <w:r>
        <w:rPr>
          <w:rFonts w:hint="eastAsia" w:ascii="仿宋_GB2312" w:hAnsi="仿宋" w:eastAsia="仿宋_GB2312" w:cs="Times New Roman"/>
          <w:kern w:val="2"/>
          <w:sz w:val="32"/>
          <w:szCs w:val="32"/>
          <w:lang w:val="en-US" w:eastAsia="zh-CN"/>
        </w:rPr>
        <w:t>0</w:t>
      </w:r>
      <w:r>
        <w:rPr>
          <w:rFonts w:hint="eastAsia" w:ascii="仿宋_GB2312" w:hAnsi="仿宋" w:eastAsia="仿宋_GB2312" w:cs="Times New Roman"/>
          <w:kern w:val="2"/>
          <w:sz w:val="32"/>
          <w:szCs w:val="32"/>
        </w:rPr>
        <w:t>万元。支出按功能分类分为：一般公共服务支出</w:t>
      </w:r>
      <w:r>
        <w:rPr>
          <w:rFonts w:hint="eastAsia" w:ascii="仿宋_GB2312" w:hAnsi="仿宋" w:eastAsia="仿宋_GB2312" w:cs="Times New Roman"/>
          <w:kern w:val="2"/>
          <w:sz w:val="32"/>
          <w:szCs w:val="32"/>
          <w:lang w:val="en-US" w:eastAsia="zh-CN"/>
        </w:rPr>
        <w:t>35.5</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85.5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；社会保障和就业支出</w:t>
      </w:r>
      <w:r>
        <w:rPr>
          <w:rFonts w:hint="eastAsia" w:ascii="仿宋_GB2312" w:hAnsi="仿宋" w:eastAsia="仿宋_GB2312" w:cs="Times New Roman"/>
          <w:kern w:val="2"/>
          <w:sz w:val="32"/>
          <w:szCs w:val="32"/>
          <w:lang w:val="en-US" w:eastAsia="zh-CN"/>
        </w:rPr>
        <w:t>2.6</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6.2</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r>
        <w:rPr>
          <w:rFonts w:hint="eastAsia" w:ascii="仿宋_GB2312" w:hAnsi="仿宋" w:eastAsia="仿宋_GB2312" w:cs="Times New Roman"/>
          <w:kern w:val="2"/>
          <w:sz w:val="32"/>
          <w:szCs w:val="32"/>
          <w:lang w:val="en-US" w:eastAsia="zh-CN"/>
        </w:rPr>
        <w:t>卫生健康支出1.1万元，</w:t>
      </w:r>
      <w:r>
        <w:rPr>
          <w:rFonts w:hint="eastAsia" w:ascii="仿宋_GB2312" w:hAnsi="仿宋" w:eastAsia="仿宋_GB2312" w:cs="Times New Roman"/>
          <w:kern w:val="2"/>
          <w:sz w:val="32"/>
          <w:szCs w:val="32"/>
        </w:rPr>
        <w:t>占</w:t>
      </w:r>
      <w:r>
        <w:rPr>
          <w:rFonts w:hint="eastAsia" w:ascii="仿宋_GB2312" w:hAnsi="仿宋" w:eastAsia="仿宋_GB2312" w:cs="Times New Roman"/>
          <w:kern w:val="2"/>
          <w:sz w:val="32"/>
          <w:szCs w:val="32"/>
          <w:lang w:val="en-US" w:eastAsia="zh-CN"/>
        </w:rPr>
        <w:t>2.6</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lang w:eastAsia="zh-CN"/>
        </w:rPr>
        <w:t>；</w:t>
      </w:r>
      <w:r>
        <w:rPr>
          <w:rFonts w:hint="eastAsia" w:ascii="仿宋_GB2312" w:hAnsi="仿宋" w:eastAsia="仿宋_GB2312" w:cs="Times New Roman"/>
          <w:kern w:val="2"/>
          <w:sz w:val="32"/>
          <w:szCs w:val="32"/>
        </w:rPr>
        <w:t>住房保障支出</w:t>
      </w:r>
      <w:r>
        <w:rPr>
          <w:rFonts w:hint="eastAsia" w:ascii="仿宋_GB2312" w:hAnsi="仿宋" w:eastAsia="仿宋_GB2312" w:cs="Times New Roman"/>
          <w:kern w:val="2"/>
          <w:sz w:val="32"/>
          <w:szCs w:val="32"/>
          <w:lang w:val="en-US" w:eastAsia="zh-CN"/>
        </w:rPr>
        <w:t>2.4</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5.8</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pStyle w:val="6"/>
        <w:adjustRightInd w:val="0"/>
        <w:snapToGrid w:val="0"/>
        <w:spacing w:before="0" w:beforeAutospacing="0" w:after="0" w:afterAutospacing="0" w:line="600" w:lineRule="exact"/>
        <w:ind w:firstLine="640" w:firstLineChars="200"/>
        <w:rPr>
          <w:rFonts w:ascii="黑体" w:hAnsi="仿宋" w:eastAsia="黑体"/>
          <w:color w:val="000000"/>
          <w:sz w:val="32"/>
          <w:szCs w:val="32"/>
        </w:rPr>
      </w:pPr>
      <w:r>
        <w:rPr>
          <w:rFonts w:hint="eastAsia" w:ascii="黑体" w:hAnsi="仿宋" w:eastAsia="黑体"/>
          <w:color w:val="000000"/>
          <w:sz w:val="32"/>
          <w:szCs w:val="32"/>
        </w:rPr>
        <w:t>五、关于</w:t>
      </w:r>
      <w:r>
        <w:rPr>
          <w:rFonts w:ascii="黑体" w:hAnsi="仿宋" w:eastAsia="黑体"/>
          <w:color w:val="000000"/>
          <w:sz w:val="32"/>
          <w:szCs w:val="32"/>
        </w:rPr>
        <w:t>202</w:t>
      </w:r>
      <w:r>
        <w:rPr>
          <w:rFonts w:hint="eastAsia" w:ascii="黑体" w:hAnsi="仿宋" w:eastAsia="黑体"/>
          <w:color w:val="000000"/>
          <w:sz w:val="32"/>
          <w:szCs w:val="32"/>
          <w:lang w:val="en-US" w:eastAsia="zh-CN"/>
        </w:rPr>
        <w:t>4</w:t>
      </w:r>
      <w:r>
        <w:rPr>
          <w:rFonts w:hint="eastAsia" w:ascii="黑体" w:hAnsi="仿宋" w:eastAsia="黑体"/>
          <w:color w:val="000000"/>
          <w:sz w:val="32"/>
          <w:szCs w:val="32"/>
        </w:rPr>
        <w:t>年一般公共预算支出表的说明</w:t>
      </w:r>
    </w:p>
    <w:p>
      <w:pPr>
        <w:pStyle w:val="6"/>
        <w:adjustRightInd w:val="0"/>
        <w:snapToGrid w:val="0"/>
        <w:spacing w:before="0" w:beforeAutospacing="0" w:after="0" w:afterAutospacing="0" w:line="600" w:lineRule="exact"/>
        <w:ind w:firstLine="630"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（一）一般公共预算支出规模变化情况。</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cs="Times New Roman"/>
          <w:kern w:val="2"/>
          <w:sz w:val="32"/>
          <w:szCs w:val="32"/>
        </w:rPr>
        <w:t>202</w:t>
      </w:r>
      <w:r>
        <w:rPr>
          <w:rFonts w:hint="eastAsia" w:ascii="仿宋_GB2312" w:hAnsi="仿宋" w:eastAsia="仿宋_GB2312" w:cs="Times New Roman"/>
          <w:kern w:val="2"/>
          <w:sz w:val="32"/>
          <w:szCs w:val="32"/>
          <w:lang w:val="en-US" w:eastAsia="zh-CN"/>
        </w:rPr>
        <w:t>4</w:t>
      </w:r>
      <w:r>
        <w:rPr>
          <w:rFonts w:hint="eastAsia" w:ascii="仿宋_GB2312" w:hAnsi="仿宋" w:eastAsia="仿宋_GB2312" w:cs="Times New Roman"/>
          <w:kern w:val="2"/>
          <w:sz w:val="32"/>
          <w:szCs w:val="32"/>
        </w:rPr>
        <w:t>年一般公共预算支出</w:t>
      </w:r>
      <w:r>
        <w:rPr>
          <w:rFonts w:hint="eastAsia" w:ascii="仿宋_GB2312" w:hAnsi="仿宋" w:eastAsia="仿宋_GB2312" w:cs="Times New Roman"/>
          <w:kern w:val="2"/>
          <w:sz w:val="32"/>
          <w:szCs w:val="32"/>
          <w:lang w:val="en-US" w:eastAsia="zh-CN"/>
        </w:rPr>
        <w:t>41.5</w:t>
      </w:r>
      <w:r>
        <w:rPr>
          <w:rFonts w:hint="eastAsia" w:ascii="仿宋_GB2312" w:hAnsi="仿宋" w:eastAsia="仿宋_GB2312" w:cs="Times New Roman"/>
          <w:kern w:val="2"/>
          <w:sz w:val="32"/>
          <w:szCs w:val="32"/>
        </w:rPr>
        <w:t>万元，</w:t>
      </w:r>
      <w:r>
        <w:rPr>
          <w:rFonts w:hint="eastAsia" w:ascii="仿宋_GB2312" w:hAnsi="仿宋" w:eastAsia="仿宋_GB2312"/>
          <w:sz w:val="32"/>
          <w:szCs w:val="32"/>
        </w:rPr>
        <w:t>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增加18</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增加43.4</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今年预算包括区级专项经费和上级项目资金。</w:t>
      </w:r>
      <w:r>
        <w:rPr>
          <w:rFonts w:hint="eastAsia" w:ascii="仿宋_GB2312" w:hAnsi="仿宋" w:eastAsia="仿宋_GB2312" w:cs="Times New Roman"/>
          <w:kern w:val="2"/>
          <w:sz w:val="32"/>
          <w:szCs w:val="32"/>
        </w:rPr>
        <w:t>。</w:t>
      </w:r>
    </w:p>
    <w:p>
      <w:pPr>
        <w:pStyle w:val="6"/>
        <w:adjustRightInd w:val="0"/>
        <w:snapToGrid w:val="0"/>
        <w:spacing w:before="0" w:beforeAutospacing="0" w:after="0" w:afterAutospacing="0" w:line="600" w:lineRule="exact"/>
        <w:ind w:firstLine="630" w:firstLineChars="196"/>
        <w:rPr>
          <w:rFonts w:ascii="楷体_GB2312" w:hAnsi="仿宋" w:eastAsia="楷体_GB2312" w:cs="Times New Roman"/>
          <w:b/>
          <w:kern w:val="2"/>
          <w:sz w:val="32"/>
          <w:szCs w:val="32"/>
        </w:rPr>
      </w:pPr>
      <w:r>
        <w:rPr>
          <w:rFonts w:hint="eastAsia" w:ascii="楷体_GB2312" w:hAnsi="仿宋" w:eastAsia="楷体_GB2312" w:cs="Times New Roman"/>
          <w:b/>
          <w:kern w:val="2"/>
          <w:sz w:val="32"/>
          <w:szCs w:val="32"/>
        </w:rPr>
        <w:t>（二）一般公共预算支出结构情况。</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一般公共服务支出</w:t>
      </w:r>
      <w:r>
        <w:rPr>
          <w:rFonts w:hint="eastAsia" w:ascii="仿宋_GB2312" w:hAnsi="仿宋" w:eastAsia="仿宋_GB2312" w:cs="Times New Roman"/>
          <w:kern w:val="2"/>
          <w:sz w:val="32"/>
          <w:szCs w:val="32"/>
          <w:lang w:val="en-US" w:eastAsia="zh-CN"/>
        </w:rPr>
        <w:t>35.5</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85.5</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；社会保障和就业支出</w:t>
      </w:r>
      <w:r>
        <w:rPr>
          <w:rFonts w:hint="eastAsia" w:ascii="仿宋_GB2312" w:hAnsi="仿宋" w:eastAsia="仿宋_GB2312" w:cs="Times New Roman"/>
          <w:kern w:val="2"/>
          <w:sz w:val="32"/>
          <w:szCs w:val="32"/>
          <w:lang w:val="en-US" w:eastAsia="zh-CN"/>
        </w:rPr>
        <w:t>2.6</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6.2</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r>
        <w:rPr>
          <w:rFonts w:hint="eastAsia" w:ascii="仿宋_GB2312" w:hAnsi="仿宋" w:eastAsia="仿宋_GB2312" w:cs="Times New Roman"/>
          <w:kern w:val="2"/>
          <w:sz w:val="32"/>
          <w:szCs w:val="32"/>
          <w:lang w:val="en-US" w:eastAsia="zh-CN"/>
        </w:rPr>
        <w:t>卫生健康支出1.1万元，</w:t>
      </w:r>
      <w:r>
        <w:rPr>
          <w:rFonts w:hint="eastAsia" w:ascii="仿宋_GB2312" w:hAnsi="仿宋" w:eastAsia="仿宋_GB2312" w:cs="Times New Roman"/>
          <w:kern w:val="2"/>
          <w:sz w:val="32"/>
          <w:szCs w:val="32"/>
        </w:rPr>
        <w:t>占</w:t>
      </w:r>
      <w:r>
        <w:rPr>
          <w:rFonts w:hint="eastAsia" w:ascii="仿宋_GB2312" w:hAnsi="仿宋" w:eastAsia="仿宋_GB2312" w:cs="Times New Roman"/>
          <w:kern w:val="2"/>
          <w:sz w:val="32"/>
          <w:szCs w:val="32"/>
          <w:lang w:val="en-US" w:eastAsia="zh-CN"/>
        </w:rPr>
        <w:t>2.6</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lang w:eastAsia="zh-CN"/>
        </w:rPr>
        <w:t>；</w:t>
      </w:r>
      <w:r>
        <w:rPr>
          <w:rFonts w:hint="eastAsia" w:ascii="仿宋_GB2312" w:hAnsi="仿宋" w:eastAsia="仿宋_GB2312" w:cs="Times New Roman"/>
          <w:kern w:val="2"/>
          <w:sz w:val="32"/>
          <w:szCs w:val="32"/>
        </w:rPr>
        <w:t>住房保障支出</w:t>
      </w:r>
      <w:r>
        <w:rPr>
          <w:rFonts w:hint="eastAsia" w:ascii="仿宋_GB2312" w:hAnsi="仿宋" w:eastAsia="仿宋_GB2312" w:cs="Times New Roman"/>
          <w:kern w:val="2"/>
          <w:sz w:val="32"/>
          <w:szCs w:val="32"/>
          <w:lang w:val="en-US" w:eastAsia="zh-CN"/>
        </w:rPr>
        <w:t>2.4</w:t>
      </w:r>
      <w:r>
        <w:rPr>
          <w:rFonts w:hint="eastAsia" w:ascii="仿宋_GB2312" w:hAnsi="仿宋" w:eastAsia="仿宋_GB2312" w:cs="Times New Roman"/>
          <w:kern w:val="2"/>
          <w:sz w:val="32"/>
          <w:szCs w:val="32"/>
        </w:rPr>
        <w:t>万元，占</w:t>
      </w:r>
      <w:r>
        <w:rPr>
          <w:rFonts w:hint="eastAsia" w:ascii="仿宋_GB2312" w:hAnsi="仿宋" w:eastAsia="仿宋_GB2312" w:cs="Times New Roman"/>
          <w:kern w:val="2"/>
          <w:sz w:val="32"/>
          <w:szCs w:val="32"/>
          <w:lang w:val="en-US" w:eastAsia="zh-CN"/>
        </w:rPr>
        <w:t>5.8</w:t>
      </w:r>
      <w:r>
        <w:rPr>
          <w:rFonts w:ascii="仿宋_GB2312" w:hAnsi="仿宋" w:eastAsia="仿宋_GB2312" w:cs="Times New Roman"/>
          <w:kern w:val="2"/>
          <w:sz w:val="32"/>
          <w:szCs w:val="32"/>
        </w:rPr>
        <w:t>%</w:t>
      </w:r>
      <w:r>
        <w:rPr>
          <w:rFonts w:hint="eastAsia" w:ascii="仿宋_GB2312" w:hAnsi="仿宋" w:eastAsia="仿宋_GB2312" w:cs="Times New Roman"/>
          <w:kern w:val="2"/>
          <w:sz w:val="32"/>
          <w:szCs w:val="32"/>
        </w:rPr>
        <w:t>。</w:t>
      </w:r>
    </w:p>
    <w:p>
      <w:pPr>
        <w:adjustRightInd w:val="0"/>
        <w:snapToGrid w:val="0"/>
        <w:spacing w:line="600" w:lineRule="exact"/>
        <w:ind w:firstLine="643" w:firstLineChars="200"/>
        <w:rPr>
          <w:rFonts w:ascii="楷体_GB2312" w:hAnsi="仿宋" w:eastAsia="楷体_GB2312"/>
          <w:b/>
          <w:sz w:val="32"/>
          <w:szCs w:val="32"/>
        </w:rPr>
      </w:pPr>
      <w:r>
        <w:rPr>
          <w:rFonts w:hint="eastAsia" w:ascii="楷体_GB2312" w:hAnsi="仿宋" w:eastAsia="楷体_GB2312"/>
          <w:b/>
          <w:sz w:val="32"/>
          <w:szCs w:val="32"/>
        </w:rPr>
        <w:t>（三）一般公共预算支出具体使用情况。</w:t>
      </w:r>
    </w:p>
    <w:p>
      <w:pPr>
        <w:adjustRightInd w:val="0"/>
        <w:snapToGrid w:val="0"/>
        <w:spacing w:line="600" w:lineRule="exact"/>
        <w:ind w:firstLine="643" w:firstLineChars="200"/>
        <w:rPr>
          <w:rFonts w:ascii="仿宋_GB2312" w:hAnsi="仿宋" w:eastAsia="仿宋_GB2312"/>
          <w:sz w:val="32"/>
          <w:szCs w:val="32"/>
        </w:rPr>
      </w:pPr>
      <w:r>
        <w:rPr>
          <w:rFonts w:ascii="仿宋_GB2312" w:hAnsi="仿宋" w:eastAsia="仿宋_GB2312"/>
          <w:b/>
          <w:sz w:val="32"/>
          <w:szCs w:val="32"/>
        </w:rPr>
        <w:t>1.</w:t>
      </w:r>
      <w:r>
        <w:rPr>
          <w:rFonts w:hint="eastAsia" w:ascii="仿宋_GB2312" w:hAnsi="仿宋" w:eastAsia="仿宋_GB2312"/>
          <w:b/>
          <w:sz w:val="32"/>
          <w:szCs w:val="32"/>
        </w:rPr>
        <w:t>一般公共服务支出（类）财政事务（款）行政运行（项）</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17.6</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增加1.5</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增加8.5</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提租补贴、公积金增加</w:t>
      </w:r>
      <w:r>
        <w:rPr>
          <w:rFonts w:hint="eastAsia" w:ascii="仿宋_GB2312" w:hAnsi="仿宋" w:eastAsia="仿宋_GB2312"/>
          <w:sz w:val="32"/>
          <w:szCs w:val="32"/>
        </w:rPr>
        <w:t>。</w:t>
      </w:r>
    </w:p>
    <w:p>
      <w:pPr>
        <w:adjustRightInd w:val="0"/>
        <w:snapToGrid w:val="0"/>
        <w:spacing w:line="600"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lang w:val="en-US" w:eastAsia="zh-CN"/>
        </w:rPr>
        <w:t>2</w:t>
      </w:r>
      <w:r>
        <w:rPr>
          <w:rFonts w:ascii="仿宋_GB2312" w:hAnsi="仿宋" w:eastAsia="仿宋_GB2312"/>
          <w:b/>
          <w:sz w:val="32"/>
          <w:szCs w:val="32"/>
        </w:rPr>
        <w:t>.</w:t>
      </w:r>
      <w:r>
        <w:rPr>
          <w:rFonts w:hint="eastAsia" w:ascii="仿宋_GB2312" w:hAnsi="仿宋" w:eastAsia="仿宋_GB2312"/>
          <w:b/>
          <w:sz w:val="32"/>
          <w:szCs w:val="32"/>
        </w:rPr>
        <w:t>一般公共服务支出（类）财政事务（款）一般行政管理事务（项）</w:t>
      </w:r>
      <w:r>
        <w:rPr>
          <w:rFonts w:ascii="仿宋_GB2312" w:hAnsi="仿宋" w:eastAsia="仿宋_GB2312"/>
          <w:sz w:val="32"/>
          <w:szCs w:val="32"/>
        </w:rPr>
        <w:t>202</w:t>
      </w:r>
      <w:r>
        <w:rPr>
          <w:rFonts w:hint="eastAsia" w:ascii="仿宋_GB2312" w:hAnsi="仿宋"/>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17.9</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sz w:val="32"/>
          <w:szCs w:val="32"/>
          <w:lang w:val="en-US" w:eastAsia="zh-CN"/>
        </w:rPr>
        <w:t>3</w:t>
      </w:r>
      <w:r>
        <w:rPr>
          <w:rFonts w:hint="eastAsia" w:ascii="仿宋_GB2312" w:hAnsi="仿宋" w:eastAsia="仿宋_GB2312"/>
          <w:sz w:val="32"/>
          <w:szCs w:val="32"/>
        </w:rPr>
        <w:t>年预算增加</w:t>
      </w:r>
      <w:r>
        <w:rPr>
          <w:rFonts w:hint="eastAsia" w:ascii="仿宋_GB2312" w:hAnsi="仿宋" w:eastAsia="仿宋_GB2312"/>
          <w:sz w:val="32"/>
          <w:szCs w:val="32"/>
          <w:lang w:val="en-US" w:eastAsia="zh-CN"/>
        </w:rPr>
        <w:t>17.9</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100</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eastAsia="仿宋_GB2312"/>
          <w:sz w:val="32"/>
          <w:szCs w:val="32"/>
          <w:lang w:val="en-US" w:eastAsia="zh-CN"/>
        </w:rPr>
        <w:t>2023年预算中区级专项资金未列入</w:t>
      </w:r>
      <w:r>
        <w:rPr>
          <w:rFonts w:hint="eastAsia" w:ascii="仿宋_GB2312" w:hAnsi="仿宋" w:eastAsia="仿宋_GB2312"/>
          <w:sz w:val="32"/>
          <w:szCs w:val="32"/>
        </w:rPr>
        <w:t>。</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3.</w:t>
      </w:r>
      <w:r>
        <w:rPr>
          <w:rFonts w:hint="eastAsia" w:ascii="仿宋_GB2312" w:hAnsi="仿宋" w:eastAsia="仿宋_GB2312"/>
          <w:b/>
          <w:sz w:val="32"/>
          <w:szCs w:val="32"/>
        </w:rPr>
        <w:t>社会保障和就业支出（类）行政事业单位离退休（款）归口管理的行政事业单位离退休（项）</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2.6</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hint="eastAsia" w:ascii="仿宋_GB2312" w:hAnsi="仿宋" w:eastAsia="仿宋_GB2312"/>
          <w:sz w:val="32"/>
          <w:szCs w:val="32"/>
          <w:lang w:val="en-US" w:eastAsia="zh-CN"/>
        </w:rPr>
        <w:t>增加0.1万元</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职业年金支出增加</w:t>
      </w:r>
      <w:r>
        <w:rPr>
          <w:rFonts w:hint="eastAsia" w:ascii="仿宋_GB2312" w:hAnsi="仿宋" w:eastAsia="仿宋_GB2312"/>
          <w:sz w:val="32"/>
          <w:szCs w:val="32"/>
        </w:rPr>
        <w:t>。</w:t>
      </w:r>
    </w:p>
    <w:p>
      <w:pPr>
        <w:adjustRightInd w:val="0"/>
        <w:snapToGrid w:val="0"/>
        <w:spacing w:line="600" w:lineRule="exact"/>
        <w:ind w:firstLine="643" w:firstLineChars="200"/>
        <w:rPr>
          <w:rFonts w:ascii="仿宋_GB2312" w:hAnsi="仿宋" w:eastAsia="仿宋_GB2312"/>
          <w:sz w:val="32"/>
          <w:szCs w:val="32"/>
        </w:rPr>
      </w:pPr>
      <w:r>
        <w:rPr>
          <w:rFonts w:hint="eastAsia" w:ascii="仿宋_GB2312" w:hAnsi="仿宋" w:eastAsia="仿宋_GB2312"/>
          <w:b/>
          <w:sz w:val="32"/>
          <w:szCs w:val="32"/>
          <w:lang w:val="en-US" w:eastAsia="zh-CN"/>
        </w:rPr>
        <w:t>3</w:t>
      </w:r>
      <w:r>
        <w:rPr>
          <w:rFonts w:ascii="仿宋_GB2312" w:hAnsi="仿宋" w:eastAsia="仿宋_GB2312"/>
          <w:b/>
          <w:sz w:val="32"/>
          <w:szCs w:val="32"/>
        </w:rPr>
        <w:t>.</w:t>
      </w:r>
      <w:r>
        <w:rPr>
          <w:rFonts w:hint="eastAsia" w:ascii="仿宋_GB2312" w:hAnsi="仿宋" w:eastAsia="仿宋_GB2312"/>
          <w:b/>
          <w:sz w:val="32"/>
          <w:szCs w:val="32"/>
        </w:rPr>
        <w:t>住房保障支出（类）住房改革支出（款）住房公积金（项）</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2.4</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年预算增加</w:t>
      </w:r>
      <w:r>
        <w:rPr>
          <w:rFonts w:hint="eastAsia" w:ascii="仿宋_GB2312" w:hAnsi="仿宋" w:eastAsia="仿宋_GB2312"/>
          <w:sz w:val="32"/>
          <w:szCs w:val="32"/>
          <w:lang w:val="en-US" w:eastAsia="zh-CN"/>
        </w:rPr>
        <w:t>0.1</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4.2</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eastAsia="仿宋_GB2312"/>
          <w:sz w:val="32"/>
          <w:szCs w:val="32"/>
          <w:lang w:val="en-US" w:eastAsia="zh-CN"/>
        </w:rPr>
        <w:t>增加提租补贴费用</w:t>
      </w:r>
      <w:r>
        <w:rPr>
          <w:rFonts w:hint="eastAsia" w:ascii="仿宋_GB2312" w:hAnsi="仿宋" w:eastAsia="仿宋_GB2312"/>
          <w:sz w:val="32"/>
          <w:szCs w:val="32"/>
        </w:rPr>
        <w:t>。</w:t>
      </w:r>
    </w:p>
    <w:p>
      <w:pPr>
        <w:pStyle w:val="6"/>
        <w:adjustRightInd w:val="0"/>
        <w:snapToGrid w:val="0"/>
        <w:spacing w:before="0" w:beforeAutospacing="0" w:after="0" w:afterAutospacing="0" w:line="600" w:lineRule="exact"/>
        <w:ind w:firstLine="640" w:firstLineChars="200"/>
        <w:rPr>
          <w:rFonts w:ascii="黑体" w:eastAsia="黑体"/>
          <w:color w:val="000000"/>
        </w:rPr>
      </w:pPr>
      <w:r>
        <w:rPr>
          <w:rFonts w:hint="eastAsia" w:ascii="黑体" w:hAnsi="仿宋" w:eastAsia="黑体" w:cs="Times New Roman"/>
          <w:color w:val="000000"/>
          <w:kern w:val="2"/>
          <w:sz w:val="32"/>
          <w:szCs w:val="32"/>
        </w:rPr>
        <w:t>六、关于</w:t>
      </w:r>
      <w:r>
        <w:rPr>
          <w:rFonts w:ascii="黑体" w:hAnsi="仿宋" w:eastAsia="黑体" w:cs="Times New Roman"/>
          <w:color w:val="000000"/>
          <w:kern w:val="2"/>
          <w:sz w:val="32"/>
          <w:szCs w:val="32"/>
        </w:rPr>
        <w:t>202</w:t>
      </w:r>
      <w:r>
        <w:rPr>
          <w:rFonts w:hint="eastAsia" w:ascii="黑体" w:hAnsi="仿宋" w:eastAsia="黑体" w:cs="Times New Roman"/>
          <w:color w:val="000000"/>
          <w:kern w:val="2"/>
          <w:sz w:val="32"/>
          <w:szCs w:val="32"/>
          <w:lang w:val="en-US" w:eastAsia="zh-CN"/>
        </w:rPr>
        <w:t>4</w:t>
      </w:r>
      <w:r>
        <w:rPr>
          <w:rFonts w:hint="eastAsia" w:ascii="黑体" w:hAnsi="仿宋" w:eastAsia="黑体" w:cs="Times New Roman"/>
          <w:color w:val="000000"/>
          <w:kern w:val="2"/>
          <w:sz w:val="32"/>
          <w:szCs w:val="32"/>
        </w:rPr>
        <w:t>年一般公共预算基本支出表的说明</w:t>
      </w:r>
    </w:p>
    <w:p>
      <w:pPr>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年一般公共预算基本支出</w:t>
      </w:r>
      <w:r>
        <w:rPr>
          <w:rFonts w:hint="eastAsia" w:ascii="仿宋_GB2312" w:hAnsi="仿宋" w:eastAsia="仿宋_GB2312"/>
          <w:sz w:val="32"/>
          <w:szCs w:val="32"/>
          <w:lang w:val="en-US" w:eastAsia="zh-CN"/>
        </w:rPr>
        <w:t>20.6</w:t>
      </w:r>
      <w:r>
        <w:rPr>
          <w:rFonts w:hint="eastAsia" w:ascii="仿宋_GB2312" w:hAnsi="仿宋" w:eastAsia="仿宋_GB2312"/>
          <w:sz w:val="32"/>
          <w:szCs w:val="32"/>
        </w:rPr>
        <w:t>万元，其中，人员经费</w:t>
      </w:r>
      <w:r>
        <w:rPr>
          <w:rFonts w:hint="eastAsia" w:ascii="仿宋_GB2312" w:hAnsi="仿宋" w:eastAsia="仿宋_GB2312"/>
          <w:sz w:val="32"/>
          <w:szCs w:val="32"/>
          <w:lang w:val="en-US" w:eastAsia="zh-CN"/>
        </w:rPr>
        <w:t>19.6</w:t>
      </w:r>
      <w:r>
        <w:rPr>
          <w:rFonts w:hint="eastAsia" w:ascii="仿宋_GB2312" w:hAnsi="仿宋" w:eastAsia="仿宋_GB2312"/>
          <w:sz w:val="32"/>
          <w:szCs w:val="32"/>
        </w:rPr>
        <w:t>万元，公用经费</w:t>
      </w:r>
      <w:r>
        <w:rPr>
          <w:rFonts w:hint="eastAsia" w:ascii="仿宋_GB2312" w:hAnsi="仿宋" w:eastAsia="仿宋_GB2312"/>
          <w:sz w:val="32"/>
          <w:szCs w:val="32"/>
          <w:lang w:val="en-US" w:eastAsia="zh-CN"/>
        </w:rPr>
        <w:t>1</w:t>
      </w:r>
      <w:r>
        <w:rPr>
          <w:rFonts w:hint="eastAsia" w:ascii="仿宋_GB2312" w:hAnsi="仿宋" w:eastAsia="仿宋_GB2312"/>
          <w:sz w:val="32"/>
          <w:szCs w:val="32"/>
        </w:rPr>
        <w:t>万元。</w:t>
      </w:r>
    </w:p>
    <w:p>
      <w:pPr>
        <w:ind w:firstLine="640" w:firstLineChars="200"/>
        <w:rPr>
          <w:rFonts w:hint="default" w:ascii="仿宋_GB2312" w:hAnsi="仿宋" w:eastAsia="仿宋_GB2312"/>
          <w:sz w:val="32"/>
          <w:szCs w:val="32"/>
          <w:u w:val="none"/>
          <w:lang w:val="en-US" w:eastAsia="zh-CN"/>
        </w:rPr>
      </w:pPr>
      <w:r>
        <w:rPr>
          <w:rFonts w:hint="eastAsia" w:ascii="仿宋_GB2312" w:hAnsi="仿宋" w:eastAsia="仿宋_GB2312"/>
          <w:sz w:val="32"/>
          <w:szCs w:val="32"/>
        </w:rPr>
        <w:t>（一）人员经费</w:t>
      </w:r>
      <w:r>
        <w:rPr>
          <w:rFonts w:hint="eastAsia" w:ascii="仿宋_GB2312" w:hAnsi="仿宋" w:eastAsia="仿宋_GB2312"/>
          <w:sz w:val="32"/>
          <w:szCs w:val="32"/>
          <w:lang w:val="en-US" w:eastAsia="zh-CN"/>
        </w:rPr>
        <w:t>19.6</w:t>
      </w:r>
      <w:r>
        <w:rPr>
          <w:rFonts w:hint="eastAsia" w:ascii="仿宋_GB2312" w:hAnsi="仿宋" w:eastAsia="仿宋_GB2312"/>
          <w:sz w:val="32"/>
          <w:szCs w:val="32"/>
        </w:rPr>
        <w:t>万元，主要包括</w:t>
      </w:r>
      <w:r>
        <w:rPr>
          <w:rFonts w:ascii="仿宋_GB2312" w:hAnsi="仿宋" w:eastAsia="仿宋_GB2312"/>
          <w:sz w:val="32"/>
          <w:szCs w:val="32"/>
        </w:rPr>
        <w:t>:</w:t>
      </w:r>
      <w:r>
        <w:rPr>
          <w:rFonts w:hint="eastAsia" w:ascii="仿宋_GB2312" w:hAnsi="仿宋" w:eastAsia="仿宋_GB2312"/>
          <w:sz w:val="32"/>
          <w:szCs w:val="32"/>
          <w:u w:val="none"/>
        </w:rPr>
        <w:t>基本工资、津贴补贴、奖金、机关事业单位基本养老保险费、职业年金缴费、职工基本医疗保险缴费、公务员医疗补助缴费、住房公积金、其他工资福利支出</w:t>
      </w:r>
      <w:r>
        <w:rPr>
          <w:rFonts w:hint="eastAsia" w:ascii="仿宋_GB2312" w:hAnsi="仿宋" w:eastAsia="仿宋_GB2312"/>
          <w:sz w:val="32"/>
          <w:szCs w:val="32"/>
          <w:u w:val="none"/>
          <w:lang w:eastAsia="zh-CN"/>
        </w:rPr>
        <w:t>、</w:t>
      </w:r>
      <w:r>
        <w:rPr>
          <w:rFonts w:hint="eastAsia" w:ascii="仿宋_GB2312" w:hAnsi="仿宋" w:eastAsia="仿宋_GB2312"/>
          <w:sz w:val="32"/>
          <w:szCs w:val="32"/>
          <w:u w:val="none"/>
          <w:lang w:val="en-US" w:eastAsia="zh-CN"/>
        </w:rPr>
        <w:t>对个人和家庭的补助、退休费、其他对个人和家庭的补助。</w:t>
      </w:r>
    </w:p>
    <w:p>
      <w:pPr>
        <w:ind w:firstLine="640" w:firstLineChars="200"/>
        <w:rPr>
          <w:rFonts w:ascii="仿宋_GB2312" w:hAnsi="仿宋" w:eastAsia="仿宋_GB2312"/>
          <w:sz w:val="32"/>
          <w:szCs w:val="32"/>
          <w:u w:val="none"/>
        </w:rPr>
      </w:pPr>
      <w:r>
        <w:rPr>
          <w:rFonts w:hint="eastAsia" w:ascii="仿宋_GB2312" w:hAnsi="仿宋" w:eastAsia="仿宋_GB2312"/>
          <w:sz w:val="32"/>
          <w:szCs w:val="32"/>
        </w:rPr>
        <w:t>（二）公用经费</w:t>
      </w:r>
      <w:r>
        <w:rPr>
          <w:rFonts w:hint="eastAsia" w:ascii="仿宋_GB2312" w:hAnsi="仿宋" w:eastAsia="仿宋_GB2312"/>
          <w:sz w:val="32"/>
          <w:szCs w:val="32"/>
          <w:lang w:val="en-US" w:eastAsia="zh-CN"/>
        </w:rPr>
        <w:t>1</w:t>
      </w:r>
      <w:r>
        <w:rPr>
          <w:rFonts w:hint="eastAsia" w:ascii="仿宋_GB2312" w:hAnsi="仿宋" w:eastAsia="仿宋_GB2312"/>
          <w:sz w:val="32"/>
          <w:szCs w:val="32"/>
        </w:rPr>
        <w:t>万元，主要包括：</w:t>
      </w:r>
      <w:r>
        <w:rPr>
          <w:rFonts w:hint="eastAsia" w:ascii="仿宋_GB2312" w:hAnsi="仿宋" w:eastAsia="仿宋_GB2312"/>
          <w:sz w:val="32"/>
          <w:szCs w:val="32"/>
          <w:u w:val="none"/>
        </w:rPr>
        <w:t>办公费、培训费、其他交通费用、商品</w:t>
      </w:r>
      <w:r>
        <w:rPr>
          <w:rFonts w:hint="eastAsia" w:ascii="仿宋_GB2312" w:hAnsi="仿宋" w:eastAsia="仿宋_GB2312"/>
          <w:sz w:val="32"/>
          <w:szCs w:val="32"/>
          <w:u w:val="none"/>
          <w:lang w:val="en-US" w:eastAsia="zh-CN"/>
        </w:rPr>
        <w:t>和</w:t>
      </w:r>
      <w:r>
        <w:rPr>
          <w:rFonts w:hint="eastAsia" w:ascii="仿宋_GB2312" w:hAnsi="仿宋" w:eastAsia="仿宋_GB2312"/>
          <w:sz w:val="32"/>
          <w:szCs w:val="32"/>
          <w:u w:val="none"/>
        </w:rPr>
        <w:t>服务支出。</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七、关于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年政府性基金预算支出表的说明</w:t>
      </w:r>
    </w:p>
    <w:p>
      <w:pPr>
        <w:pStyle w:val="6"/>
        <w:adjustRightInd w:val="0"/>
        <w:snapToGrid w:val="0"/>
        <w:spacing w:before="0" w:beforeAutospacing="0" w:after="0" w:afterAutospacing="0" w:line="580" w:lineRule="exact"/>
        <w:ind w:firstLine="640" w:firstLineChars="200"/>
        <w:jc w:val="both"/>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年没有政府性基金预算拨款收入，也没有使用政府性基金预算拨款安排的支出。</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八、关于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年国有资本经营预算支出表的说明</w:t>
      </w:r>
    </w:p>
    <w:p>
      <w:pPr>
        <w:pStyle w:val="6"/>
        <w:adjustRightInd w:val="0"/>
        <w:snapToGrid w:val="0"/>
        <w:spacing w:before="0" w:beforeAutospacing="0" w:after="0" w:afterAutospacing="0"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年没有国有资本经营预算拨款收入，也没有使用国有资本经营预算拨款安排的支出。</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九、关于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年项目支出表的说明</w:t>
      </w:r>
    </w:p>
    <w:p>
      <w:pPr>
        <w:pStyle w:val="6"/>
        <w:adjustRightInd w:val="0"/>
        <w:snapToGrid w:val="0"/>
        <w:spacing w:before="0" w:beforeAutospacing="0" w:after="0" w:afterAutospacing="0"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年预算共安排项目支出</w:t>
      </w:r>
      <w:r>
        <w:rPr>
          <w:rFonts w:hint="eastAsia" w:ascii="仿宋_GB2312" w:hAnsi="仿宋" w:eastAsia="仿宋_GB2312"/>
          <w:sz w:val="32"/>
          <w:szCs w:val="32"/>
          <w:lang w:val="en-US" w:eastAsia="zh-CN"/>
        </w:rPr>
        <w:t>20.9</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w:t>
      </w:r>
      <w:r>
        <w:rPr>
          <w:rFonts w:hint="eastAsia" w:ascii="仿宋_GB2312" w:hAnsi="仿宋" w:eastAsia="仿宋_GB2312"/>
          <w:sz w:val="32"/>
          <w:szCs w:val="32"/>
          <w:lang w:val="en-US" w:eastAsia="zh-CN"/>
        </w:rPr>
        <w:t>增加17.9</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增加85.6</w:t>
      </w:r>
      <w:r>
        <w:rPr>
          <w:rFonts w:ascii="仿宋_GB2312" w:hAnsi="仿宋" w:eastAsia="仿宋_GB2312"/>
          <w:sz w:val="32"/>
          <w:szCs w:val="32"/>
        </w:rPr>
        <w:t>%</w:t>
      </w:r>
      <w:r>
        <w:rPr>
          <w:rFonts w:hint="eastAsia" w:ascii="仿宋_GB2312" w:hAnsi="仿宋" w:eastAsia="仿宋_GB2312"/>
          <w:sz w:val="32"/>
          <w:szCs w:val="32"/>
        </w:rPr>
        <w:t>，</w:t>
      </w:r>
      <w:r>
        <w:rPr>
          <w:rFonts w:hint="eastAsia" w:ascii="仿宋_GB2312" w:hAnsi="仿宋" w:eastAsia="仿宋_GB2312"/>
          <w:sz w:val="32"/>
          <w:szCs w:val="32"/>
          <w:lang w:val="en-US" w:eastAsia="zh-CN"/>
        </w:rPr>
        <w:t>增加</w:t>
      </w:r>
      <w:r>
        <w:rPr>
          <w:rFonts w:hint="eastAsia" w:ascii="仿宋_GB2312" w:hAnsi="仿宋" w:eastAsia="仿宋_GB2312"/>
          <w:sz w:val="32"/>
          <w:szCs w:val="32"/>
        </w:rPr>
        <w:t>原因主要是</w:t>
      </w:r>
      <w:r>
        <w:rPr>
          <w:rFonts w:hint="eastAsia" w:ascii="仿宋_GB2312" w:hAnsi="仿宋" w:eastAsia="仿宋_GB2312"/>
          <w:sz w:val="32"/>
          <w:szCs w:val="32"/>
          <w:lang w:val="en-US" w:eastAsia="zh-CN"/>
        </w:rPr>
        <w:t>2023年区级人均一元钱专项经费没做入到预算</w:t>
      </w:r>
      <w:r>
        <w:rPr>
          <w:rFonts w:hint="eastAsia" w:ascii="仿宋_GB2312" w:hAnsi="仿宋" w:eastAsia="仿宋_GB2312"/>
          <w:sz w:val="32"/>
          <w:szCs w:val="32"/>
        </w:rPr>
        <w:t>。主要包括：本年财政拨款安排</w:t>
      </w:r>
      <w:r>
        <w:rPr>
          <w:rFonts w:ascii="仿宋_GB2312" w:hAnsi="仿宋" w:eastAsia="仿宋_GB2312"/>
          <w:sz w:val="32"/>
          <w:szCs w:val="32"/>
        </w:rPr>
        <w:t xml:space="preserve"> </w:t>
      </w:r>
      <w:r>
        <w:rPr>
          <w:rFonts w:hint="eastAsia" w:ascii="仿宋_GB2312" w:hAnsi="仿宋" w:eastAsia="仿宋_GB2312"/>
          <w:sz w:val="32"/>
          <w:szCs w:val="32"/>
          <w:lang w:val="en-US" w:eastAsia="zh-CN"/>
        </w:rPr>
        <w:t>17.9</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全部是</w:t>
      </w:r>
      <w:r>
        <w:rPr>
          <w:rFonts w:hint="eastAsia" w:ascii="仿宋_GB2312" w:hAnsi="仿宋" w:eastAsia="仿宋_GB2312"/>
          <w:sz w:val="32"/>
          <w:szCs w:val="32"/>
        </w:rPr>
        <w:t>一般公共预算拨款安排</w:t>
      </w:r>
      <w:r>
        <w:rPr>
          <w:rFonts w:ascii="仿宋_GB2312" w:hAnsi="仿宋" w:eastAsia="仿宋_GB2312"/>
          <w:sz w:val="32"/>
          <w:szCs w:val="32"/>
        </w:rPr>
        <w:t xml:space="preserve"> </w:t>
      </w:r>
      <w:r>
        <w:rPr>
          <w:rFonts w:hint="eastAsia" w:ascii="仿宋_GB2312" w:hAnsi="仿宋" w:eastAsia="仿宋_GB2312"/>
          <w:sz w:val="32"/>
          <w:szCs w:val="32"/>
          <w:lang w:val="en-US" w:eastAsia="zh-CN"/>
        </w:rPr>
        <w:t>17.9</w:t>
      </w:r>
      <w:r>
        <w:rPr>
          <w:rFonts w:hint="eastAsia" w:ascii="仿宋_GB2312" w:hAnsi="仿宋" w:eastAsia="仿宋_GB2312"/>
          <w:sz w:val="32"/>
          <w:szCs w:val="32"/>
        </w:rPr>
        <w:t>万元。</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十、关于</w:t>
      </w:r>
      <w:r>
        <w:rPr>
          <w:rFonts w:ascii="黑体" w:hAnsi="仿宋" w:eastAsia="黑体"/>
          <w:sz w:val="32"/>
          <w:szCs w:val="32"/>
        </w:rPr>
        <w:t>202</w:t>
      </w:r>
      <w:r>
        <w:rPr>
          <w:rFonts w:hint="eastAsia" w:ascii="黑体" w:hAnsi="仿宋" w:eastAsia="黑体"/>
          <w:sz w:val="32"/>
          <w:szCs w:val="32"/>
          <w:lang w:val="en-US" w:eastAsia="zh-CN"/>
        </w:rPr>
        <w:t>4</w:t>
      </w:r>
      <w:r>
        <w:rPr>
          <w:rFonts w:hint="eastAsia" w:ascii="黑体" w:hAnsi="仿宋" w:eastAsia="黑体"/>
          <w:sz w:val="32"/>
          <w:szCs w:val="32"/>
        </w:rPr>
        <w:t>年政府采购支出表的说明</w:t>
      </w:r>
    </w:p>
    <w:p>
      <w:pPr>
        <w:pStyle w:val="6"/>
        <w:adjustRightInd w:val="0"/>
        <w:snapToGrid w:val="0"/>
        <w:spacing w:before="0" w:beforeAutospacing="0" w:after="0" w:afterAutospacing="0" w:line="600" w:lineRule="exact"/>
        <w:ind w:firstLine="640" w:firstLineChars="200"/>
        <w:outlineLvl w:val="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年预算安排政府采购支出</w:t>
      </w:r>
      <w:r>
        <w:rPr>
          <w:rFonts w:hint="eastAsia" w:ascii="仿宋_GB2312" w:hAnsi="仿宋" w:eastAsia="仿宋_GB2312"/>
          <w:sz w:val="32"/>
          <w:szCs w:val="32"/>
          <w:lang w:val="en-US" w:eastAsia="zh-CN"/>
        </w:rPr>
        <w:t>0.4</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与</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年预算增加</w:t>
      </w:r>
      <w:r>
        <w:rPr>
          <w:rFonts w:hint="eastAsia" w:ascii="仿宋_GB2312" w:hAnsi="仿宋" w:eastAsia="仿宋_GB2312"/>
          <w:sz w:val="32"/>
          <w:szCs w:val="32"/>
          <w:lang w:val="en-US" w:eastAsia="zh-CN"/>
        </w:rPr>
        <w:t>0.1</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25</w:t>
      </w:r>
      <w:r>
        <w:rPr>
          <w:rFonts w:ascii="仿宋_GB2312" w:hAnsi="仿宋" w:eastAsia="仿宋_GB2312"/>
          <w:sz w:val="32"/>
          <w:szCs w:val="32"/>
        </w:rPr>
        <w:t>%</w:t>
      </w:r>
      <w:r>
        <w:rPr>
          <w:rFonts w:hint="eastAsia" w:ascii="仿宋_GB2312" w:hAnsi="仿宋" w:eastAsia="仿宋_GB2312"/>
          <w:sz w:val="32"/>
          <w:szCs w:val="32"/>
        </w:rPr>
        <w:t>，增长原因主要是</w:t>
      </w:r>
      <w:r>
        <w:rPr>
          <w:rFonts w:hint="eastAsia" w:ascii="仿宋_GB2312" w:hAnsi="仿宋" w:eastAsia="仿宋_GB2312"/>
          <w:sz w:val="32"/>
          <w:szCs w:val="32"/>
          <w:lang w:val="en-US" w:eastAsia="zh-CN"/>
        </w:rPr>
        <w:t>预算采购的物品不同。</w:t>
      </w:r>
    </w:p>
    <w:p>
      <w:pPr>
        <w:pStyle w:val="6"/>
        <w:adjustRightInd w:val="0"/>
        <w:snapToGrid w:val="0"/>
        <w:spacing w:before="0" w:beforeAutospacing="0" w:after="0" w:afterAutospacing="0" w:line="600" w:lineRule="exact"/>
        <w:ind w:firstLine="640" w:firstLineChars="200"/>
        <w:rPr>
          <w:rFonts w:ascii="黑体" w:hAnsi="仿宋" w:eastAsia="黑体"/>
          <w:sz w:val="32"/>
          <w:szCs w:val="32"/>
        </w:rPr>
      </w:pPr>
      <w:r>
        <w:rPr>
          <w:rFonts w:hint="eastAsia" w:ascii="黑体" w:hAnsi="仿宋" w:eastAsia="黑体"/>
          <w:sz w:val="32"/>
          <w:szCs w:val="32"/>
        </w:rPr>
        <w:t>十一、关于</w:t>
      </w:r>
      <w:r>
        <w:rPr>
          <w:rFonts w:ascii="黑体" w:hAnsi="仿宋" w:eastAsia="黑体"/>
          <w:sz w:val="32"/>
          <w:szCs w:val="32"/>
        </w:rPr>
        <w:t>20</w:t>
      </w:r>
      <w:r>
        <w:rPr>
          <w:rFonts w:hint="eastAsia" w:ascii="黑体" w:hAnsi="仿宋" w:eastAsia="黑体"/>
          <w:sz w:val="32"/>
          <w:szCs w:val="32"/>
          <w:lang w:val="en-US" w:eastAsia="zh-CN"/>
        </w:rPr>
        <w:t>24</w:t>
      </w:r>
      <w:r>
        <w:rPr>
          <w:rFonts w:hint="eastAsia" w:ascii="黑体" w:hAnsi="仿宋" w:eastAsia="黑体"/>
          <w:sz w:val="32"/>
          <w:szCs w:val="32"/>
        </w:rPr>
        <w:t>年政府购买服务支出表的说明</w:t>
      </w:r>
    </w:p>
    <w:p>
      <w:pPr>
        <w:pStyle w:val="6"/>
        <w:adjustRightInd w:val="0"/>
        <w:snapToGrid w:val="0"/>
        <w:spacing w:before="0" w:beforeAutospacing="0" w:after="0" w:afterAutospacing="0" w:line="600" w:lineRule="exact"/>
        <w:ind w:firstLine="640" w:firstLineChars="200"/>
        <w:outlineLvl w:val="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年没有安排政府购买服务支出。</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十二、其他重要事项情况说明</w:t>
      </w:r>
    </w:p>
    <w:p>
      <w:pPr>
        <w:adjustRightInd w:val="0"/>
        <w:snapToGrid w:val="0"/>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（一）项目及绩效目标情况。</w:t>
      </w:r>
    </w:p>
    <w:p>
      <w:pPr>
        <w:pStyle w:val="2"/>
      </w:pPr>
      <w:r>
        <w:rPr>
          <w:rFonts w:hint="eastAsia" w:ascii="仿宋_GB2312" w:hAnsi="仿宋_GB2312" w:eastAsia="仿宋_GB2312" w:cs="仿宋_GB2312"/>
          <w:i w:val="0"/>
          <w:caps w:val="0"/>
          <w:color w:val="333333"/>
          <w:spacing w:val="0"/>
          <w:sz w:val="32"/>
          <w:szCs w:val="32"/>
          <w:shd w:val="clear" w:color="auto" w:fill="FFFFFF"/>
        </w:rPr>
        <w:t>我单位无50万以上绩效评价项目，不涉及绩效目标考核情况。</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（二）机关运行经费。</w:t>
      </w:r>
    </w:p>
    <w:p>
      <w:pPr>
        <w:adjustRightInd w:val="0"/>
        <w:snapToGrid w:val="0"/>
        <w:spacing w:line="600" w:lineRule="exact"/>
        <w:ind w:firstLine="640" w:firstLineChars="200"/>
        <w:rPr>
          <w:rFonts w:ascii="仿宋_GB2312" w:hAnsi="仿宋"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年机关运行经费财政拨款预算</w:t>
      </w:r>
      <w:r>
        <w:rPr>
          <w:rFonts w:hint="eastAsia" w:ascii="仿宋_GB2312" w:hAnsi="仿宋" w:eastAsia="仿宋_GB2312"/>
          <w:sz w:val="32"/>
          <w:szCs w:val="32"/>
          <w:lang w:val="en-US" w:eastAsia="zh-CN"/>
        </w:rPr>
        <w:t>20.6</w:t>
      </w:r>
      <w:r>
        <w:rPr>
          <w:rFonts w:hint="eastAsia" w:ascii="仿宋_GB2312" w:hAnsi="仿宋" w:eastAsia="仿宋_GB2312"/>
          <w:sz w:val="32"/>
          <w:szCs w:val="32"/>
        </w:rPr>
        <w:t>万元，比</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年预算增加</w:t>
      </w:r>
      <w:r>
        <w:rPr>
          <w:rFonts w:hint="eastAsia" w:ascii="仿宋_GB2312" w:hAnsi="仿宋" w:eastAsia="仿宋_GB2312"/>
          <w:sz w:val="32"/>
          <w:szCs w:val="32"/>
          <w:lang w:val="en-US" w:eastAsia="zh-CN"/>
        </w:rPr>
        <w:t>0.3</w:t>
      </w:r>
      <w:r>
        <w:rPr>
          <w:rFonts w:hint="eastAsia" w:ascii="仿宋_GB2312" w:hAnsi="仿宋" w:eastAsia="仿宋_GB2312"/>
          <w:sz w:val="32"/>
          <w:szCs w:val="32"/>
        </w:rPr>
        <w:t>万元，增长</w:t>
      </w:r>
      <w:r>
        <w:rPr>
          <w:rFonts w:hint="eastAsia" w:ascii="仿宋_GB2312" w:hAnsi="仿宋" w:eastAsia="仿宋_GB2312"/>
          <w:sz w:val="32"/>
          <w:szCs w:val="32"/>
          <w:lang w:val="en-US" w:eastAsia="zh-CN"/>
        </w:rPr>
        <w:t>1.5</w:t>
      </w:r>
      <w:r>
        <w:rPr>
          <w:rFonts w:ascii="仿宋_GB2312" w:hAnsi="仿宋" w:eastAsia="仿宋_GB2312"/>
          <w:sz w:val="32"/>
          <w:szCs w:val="32"/>
        </w:rPr>
        <w:t>%</w:t>
      </w:r>
      <w:r>
        <w:rPr>
          <w:rFonts w:hint="eastAsia" w:ascii="仿宋_GB2312" w:hAnsi="仿宋" w:eastAsia="仿宋_GB2312"/>
          <w:sz w:val="32"/>
          <w:szCs w:val="32"/>
        </w:rPr>
        <w:t>，增长主要原因是</w:t>
      </w:r>
      <w:r>
        <w:rPr>
          <w:rFonts w:hint="eastAsia" w:ascii="仿宋_GB2312" w:hAnsi="仿宋" w:eastAsia="仿宋_GB2312"/>
          <w:sz w:val="32"/>
          <w:szCs w:val="32"/>
          <w:lang w:val="en-US" w:eastAsia="zh-CN"/>
        </w:rPr>
        <w:t>津贴补贴和职业年金的缴费增加</w:t>
      </w:r>
      <w:r>
        <w:rPr>
          <w:rFonts w:hint="eastAsia" w:ascii="仿宋_GB2312" w:hAnsi="仿宋" w:eastAsia="仿宋_GB2312"/>
          <w:sz w:val="32"/>
          <w:szCs w:val="32"/>
        </w:rPr>
        <w:t>。</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（三）政府采购情况。</w:t>
      </w:r>
    </w:p>
    <w:p>
      <w:pPr>
        <w:adjustRightInd w:val="0"/>
        <w:snapToGrid w:val="0"/>
        <w:spacing w:line="600" w:lineRule="exact"/>
        <w:ind w:firstLine="640" w:firstLineChars="200"/>
        <w:rPr>
          <w:rFonts w:ascii="仿宋_GB2312" w:hAnsi="楷体" w:eastAsia="仿宋_GB2312"/>
          <w:sz w:val="32"/>
          <w:szCs w:val="32"/>
        </w:rPr>
      </w:pP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ascii="仿宋_GB2312" w:hAnsi="楷体" w:eastAsia="仿宋_GB2312"/>
          <w:sz w:val="32"/>
          <w:szCs w:val="32"/>
        </w:rPr>
        <w:t>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年政府采购预算</w:t>
      </w:r>
      <w:r>
        <w:rPr>
          <w:rFonts w:hint="eastAsia" w:ascii="仿宋_GB2312" w:hAnsi="楷体" w:eastAsia="仿宋_GB2312"/>
          <w:sz w:val="32"/>
          <w:szCs w:val="32"/>
          <w:lang w:val="en-US" w:eastAsia="zh-CN"/>
        </w:rPr>
        <w:t>0.4</w:t>
      </w:r>
      <w:r>
        <w:rPr>
          <w:rFonts w:hint="eastAsia" w:ascii="仿宋_GB2312" w:hAnsi="楷体" w:eastAsia="仿宋_GB2312"/>
          <w:sz w:val="32"/>
          <w:szCs w:val="32"/>
        </w:rPr>
        <w:t>万元。其中：政府采购货物预算</w:t>
      </w:r>
      <w:r>
        <w:rPr>
          <w:rFonts w:hint="eastAsia" w:ascii="仿宋_GB2312" w:hAnsi="楷体" w:eastAsia="仿宋_GB2312"/>
          <w:sz w:val="32"/>
          <w:szCs w:val="32"/>
          <w:lang w:val="en-US" w:eastAsia="zh-CN"/>
        </w:rPr>
        <w:t>0.4</w:t>
      </w:r>
      <w:r>
        <w:rPr>
          <w:rFonts w:hint="eastAsia" w:ascii="仿宋_GB2312" w:hAnsi="楷体" w:eastAsia="仿宋_GB2312"/>
          <w:sz w:val="32"/>
          <w:szCs w:val="32"/>
        </w:rPr>
        <w:t>万元。</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（四）国有资产占有使用情况。</w:t>
      </w:r>
    </w:p>
    <w:p>
      <w:pPr>
        <w:adjustRightInd w:val="0"/>
        <w:snapToGrid w:val="0"/>
        <w:spacing w:line="600" w:lineRule="exact"/>
        <w:ind w:firstLine="640" w:firstLineChars="200"/>
        <w:rPr>
          <w:rFonts w:ascii="仿宋_GB2312" w:hAnsi="楷体" w:eastAsia="仿宋_GB2312"/>
          <w:color w:val="3366FF"/>
          <w:sz w:val="32"/>
          <w:szCs w:val="32"/>
        </w:rPr>
      </w:pPr>
      <w:r>
        <w:rPr>
          <w:rFonts w:hint="eastAsia" w:ascii="仿宋_GB2312" w:hAnsi="仿宋" w:eastAsia="仿宋_GB2312"/>
          <w:sz w:val="32"/>
          <w:szCs w:val="32"/>
        </w:rPr>
        <w:t>截至</w:t>
      </w:r>
      <w:r>
        <w:rPr>
          <w:rFonts w:ascii="仿宋_GB2312" w:hAnsi="仿宋" w:eastAsia="仿宋_GB2312"/>
          <w:sz w:val="32"/>
          <w:szCs w:val="32"/>
        </w:rPr>
        <w:t>202</w:t>
      </w:r>
      <w:r>
        <w:rPr>
          <w:rFonts w:hint="eastAsia" w:ascii="仿宋_GB2312" w:hAnsi="仿宋" w:eastAsia="仿宋_GB2312"/>
          <w:sz w:val="32"/>
          <w:szCs w:val="32"/>
          <w:lang w:val="en-US" w:eastAsia="zh-CN"/>
        </w:rPr>
        <w:t>3</w:t>
      </w:r>
      <w:r>
        <w:rPr>
          <w:rFonts w:hint="eastAsia" w:ascii="仿宋_GB2312" w:hAnsi="仿宋" w:eastAsia="仿宋_GB2312"/>
          <w:sz w:val="32"/>
          <w:szCs w:val="32"/>
        </w:rPr>
        <w:t>年</w:t>
      </w:r>
      <w:r>
        <w:rPr>
          <w:rFonts w:ascii="仿宋_GB2312" w:hAnsi="仿宋" w:eastAsia="仿宋_GB2312"/>
          <w:sz w:val="32"/>
          <w:szCs w:val="32"/>
        </w:rPr>
        <w:t>12</w:t>
      </w:r>
      <w:r>
        <w:rPr>
          <w:rFonts w:hint="eastAsia" w:ascii="仿宋_GB2312" w:hAnsi="仿宋" w:eastAsia="仿宋_GB2312"/>
          <w:sz w:val="32"/>
          <w:szCs w:val="32"/>
        </w:rPr>
        <w:t>月</w:t>
      </w:r>
      <w:r>
        <w:rPr>
          <w:rFonts w:ascii="仿宋_GB2312" w:hAnsi="仿宋" w:eastAsia="仿宋_GB2312"/>
          <w:sz w:val="32"/>
          <w:szCs w:val="32"/>
        </w:rPr>
        <w:t>31</w:t>
      </w:r>
      <w:r>
        <w:rPr>
          <w:rFonts w:hint="eastAsia" w:ascii="仿宋_GB2312" w:hAnsi="仿宋" w:eastAsia="仿宋_GB2312"/>
          <w:sz w:val="32"/>
          <w:szCs w:val="32"/>
        </w:rPr>
        <w:t>日，</w:t>
      </w: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hint="eastAsia" w:ascii="仿宋_GB2312" w:hAnsi="楷体" w:eastAsia="仿宋_GB2312"/>
          <w:sz w:val="32"/>
          <w:szCs w:val="32"/>
        </w:rPr>
        <w:t>共有车辆</w:t>
      </w:r>
      <w:r>
        <w:rPr>
          <w:rFonts w:hint="eastAsia" w:ascii="仿宋_GB2312" w:hAnsi="楷体" w:eastAsia="仿宋_GB2312"/>
          <w:sz w:val="32"/>
          <w:szCs w:val="32"/>
          <w:lang w:val="en-US" w:eastAsia="zh-CN"/>
        </w:rPr>
        <w:t>0</w:t>
      </w:r>
      <w:r>
        <w:rPr>
          <w:rFonts w:hint="eastAsia" w:ascii="仿宋_GB2312" w:hAnsi="楷体" w:eastAsia="仿宋_GB2312"/>
          <w:sz w:val="32"/>
          <w:szCs w:val="32"/>
        </w:rPr>
        <w:t>辆。单位价值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台，单位价值</w:t>
      </w:r>
      <w:r>
        <w:rPr>
          <w:rFonts w:ascii="仿宋_GB2312" w:hAnsi="楷体" w:eastAsia="仿宋_GB2312"/>
          <w:sz w:val="32"/>
          <w:szCs w:val="32"/>
        </w:rPr>
        <w:t>100</w:t>
      </w:r>
      <w:r>
        <w:rPr>
          <w:rFonts w:hint="eastAsia" w:ascii="仿宋_GB2312" w:hAnsi="楷体" w:eastAsia="仿宋_GB2312"/>
          <w:sz w:val="32"/>
          <w:szCs w:val="32"/>
        </w:rPr>
        <w:t>万元以上的专用设备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台（套）。</w:t>
      </w:r>
    </w:p>
    <w:p>
      <w:pPr>
        <w:adjustRightInd w:val="0"/>
        <w:snapToGrid w:val="0"/>
        <w:spacing w:line="600" w:lineRule="exact"/>
        <w:ind w:firstLine="640" w:firstLineChars="200"/>
        <w:rPr>
          <w:rFonts w:ascii="仿宋_GB2312" w:hAnsi="楷体" w:eastAsia="仿宋_GB2312"/>
          <w:sz w:val="32"/>
          <w:szCs w:val="32"/>
        </w:rPr>
      </w:pPr>
      <w:r>
        <w:rPr>
          <w:rFonts w:ascii="仿宋_GB2312" w:hAnsi="楷体" w:eastAsia="仿宋_GB2312"/>
          <w:sz w:val="32"/>
          <w:szCs w:val="32"/>
        </w:rPr>
        <w:t>202</w:t>
      </w:r>
      <w:r>
        <w:rPr>
          <w:rFonts w:hint="eastAsia" w:ascii="仿宋_GB2312" w:hAnsi="楷体" w:eastAsia="仿宋_GB2312"/>
          <w:sz w:val="32"/>
          <w:szCs w:val="32"/>
          <w:lang w:val="en-US" w:eastAsia="zh-CN"/>
        </w:rPr>
        <w:t>4</w:t>
      </w:r>
      <w:r>
        <w:rPr>
          <w:rFonts w:hint="eastAsia" w:ascii="仿宋_GB2312" w:hAnsi="楷体" w:eastAsia="仿宋_GB2312"/>
          <w:sz w:val="32"/>
          <w:szCs w:val="32"/>
        </w:rPr>
        <w:t>年部门预算</w:t>
      </w:r>
      <w:r>
        <w:rPr>
          <w:rFonts w:hint="eastAsia" w:ascii="仿宋_GB2312" w:hAnsi="楷体" w:eastAsia="仿宋_GB2312"/>
          <w:sz w:val="32"/>
          <w:szCs w:val="32"/>
          <w:lang w:val="en-US" w:eastAsia="zh-CN"/>
        </w:rPr>
        <w:t>没有</w:t>
      </w:r>
      <w:r>
        <w:rPr>
          <w:rFonts w:hint="eastAsia" w:ascii="仿宋_GB2312" w:hAnsi="楷体" w:eastAsia="仿宋_GB2312"/>
          <w:sz w:val="32"/>
          <w:szCs w:val="32"/>
        </w:rPr>
        <w:t>安排购置公务用车；</w:t>
      </w:r>
      <w:r>
        <w:rPr>
          <w:rFonts w:hint="eastAsia" w:ascii="仿宋_GB2312" w:hAnsi="楷体" w:eastAsia="仿宋_GB2312"/>
          <w:sz w:val="32"/>
          <w:szCs w:val="32"/>
          <w:lang w:val="en-US" w:eastAsia="zh-CN"/>
        </w:rPr>
        <w:t>没有</w:t>
      </w:r>
      <w:r>
        <w:rPr>
          <w:rFonts w:hint="eastAsia" w:ascii="仿宋_GB2312" w:hAnsi="楷体" w:eastAsia="仿宋_GB2312"/>
          <w:sz w:val="32"/>
          <w:szCs w:val="32"/>
        </w:rPr>
        <w:t>安排购置单位价值</w:t>
      </w:r>
      <w:r>
        <w:rPr>
          <w:rFonts w:ascii="仿宋_GB2312" w:hAnsi="楷体" w:eastAsia="仿宋_GB2312"/>
          <w:sz w:val="32"/>
          <w:szCs w:val="32"/>
        </w:rPr>
        <w:t>50</w:t>
      </w:r>
      <w:r>
        <w:rPr>
          <w:rFonts w:hint="eastAsia" w:ascii="仿宋_GB2312" w:hAnsi="楷体" w:eastAsia="仿宋_GB2312"/>
          <w:sz w:val="32"/>
          <w:szCs w:val="32"/>
        </w:rPr>
        <w:t>万元以上的通用设备；</w:t>
      </w:r>
      <w:r>
        <w:rPr>
          <w:rFonts w:hint="eastAsia" w:ascii="仿宋_GB2312" w:hAnsi="楷体" w:eastAsia="仿宋_GB2312"/>
          <w:sz w:val="32"/>
          <w:szCs w:val="32"/>
          <w:lang w:val="en-US" w:eastAsia="zh-CN"/>
        </w:rPr>
        <w:t>没有</w:t>
      </w:r>
      <w:r>
        <w:rPr>
          <w:rFonts w:hint="eastAsia" w:ascii="仿宋_GB2312" w:hAnsi="楷体" w:eastAsia="仿宋_GB2312"/>
          <w:sz w:val="32"/>
          <w:szCs w:val="32"/>
        </w:rPr>
        <w:t>安排购置单位价值</w:t>
      </w:r>
      <w:r>
        <w:rPr>
          <w:rFonts w:ascii="仿宋_GB2312" w:hAnsi="楷体" w:eastAsia="仿宋_GB2312"/>
          <w:sz w:val="32"/>
          <w:szCs w:val="32"/>
        </w:rPr>
        <w:t>100</w:t>
      </w:r>
      <w:r>
        <w:rPr>
          <w:rFonts w:hint="eastAsia" w:ascii="仿宋_GB2312" w:hAnsi="楷体" w:eastAsia="仿宋_GB2312"/>
          <w:sz w:val="32"/>
          <w:szCs w:val="32"/>
        </w:rPr>
        <w:t>万元以上专用设备。</w:t>
      </w:r>
    </w:p>
    <w:p>
      <w:pPr>
        <w:adjustRightInd w:val="0"/>
        <w:snapToGrid w:val="0"/>
        <w:spacing w:line="600" w:lineRule="exact"/>
        <w:ind w:firstLine="643" w:firstLineChars="200"/>
        <w:rPr>
          <w:rFonts w:ascii="仿宋_GB2312" w:hAnsi="楷体" w:eastAsia="仿宋_GB2312"/>
          <w:b/>
          <w:sz w:val="32"/>
          <w:szCs w:val="32"/>
        </w:rPr>
      </w:pPr>
      <w:r>
        <w:rPr>
          <w:rFonts w:hint="eastAsia" w:ascii="仿宋_GB2312" w:hAnsi="楷体" w:eastAsia="仿宋_GB2312"/>
          <w:b/>
          <w:sz w:val="32"/>
          <w:szCs w:val="32"/>
        </w:rPr>
        <w:t>（五）绩效目标设置情况。</w:t>
      </w:r>
    </w:p>
    <w:p>
      <w:pPr>
        <w:adjustRightInd w:val="0"/>
        <w:snapToGrid w:val="0"/>
        <w:spacing w:line="600" w:lineRule="exact"/>
        <w:ind w:firstLine="640" w:firstLineChars="200"/>
        <w:rPr>
          <w:rFonts w:hint="eastAsia" w:ascii="仿宋_GB2312" w:hAnsi="楷体"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 w:hAnsi="仿宋" w:eastAsia="仿宋" w:cs="Times New Roman"/>
          <w:kern w:val="2"/>
          <w:sz w:val="32"/>
          <w:szCs w:val="32"/>
          <w:lang w:val="en-US" w:eastAsia="zh-CN"/>
        </w:rPr>
        <w:t>谢家集区</w:t>
      </w:r>
      <w:r>
        <w:rPr>
          <w:rFonts w:hint="eastAsia" w:ascii="仿宋_GB2312" w:hAnsi="仿宋" w:eastAsia="仿宋_GB2312" w:cs="仿宋"/>
          <w:bCs/>
          <w:sz w:val="32"/>
          <w:szCs w:val="32"/>
          <w:lang w:eastAsia="zh-CN"/>
        </w:rPr>
        <w:t>妇女联合会</w:t>
      </w:r>
      <w:r>
        <w:rPr>
          <w:rFonts w:hint="eastAsia" w:ascii="仿宋_GB2312" w:hAnsi="仿宋_GB2312" w:eastAsia="仿宋_GB2312" w:cs="仿宋_GB2312"/>
          <w:i w:val="0"/>
          <w:caps w:val="0"/>
          <w:color w:val="333333"/>
          <w:spacing w:val="0"/>
          <w:sz w:val="32"/>
          <w:szCs w:val="32"/>
          <w:shd w:val="clear" w:color="auto" w:fill="FFFFFF"/>
        </w:rPr>
        <w:t>无50万以上绩效目标项目</w:t>
      </w:r>
      <w:r>
        <w:rPr>
          <w:rFonts w:hint="eastAsia" w:ascii="仿宋_GB2312" w:hAnsi="仿宋_GB2312" w:eastAsia="仿宋_GB2312" w:cs="仿宋_GB2312"/>
          <w:i w:val="0"/>
          <w:caps w:val="0"/>
          <w:color w:val="333333"/>
          <w:spacing w:val="0"/>
          <w:sz w:val="32"/>
          <w:szCs w:val="32"/>
          <w:shd w:val="clear" w:color="auto" w:fill="FFFFFF"/>
          <w:lang w:eastAsia="zh-CN"/>
        </w:rPr>
        <w:t>。</w:t>
      </w:r>
      <w:r>
        <w:rPr>
          <w:rFonts w:hint="eastAsia" w:ascii="仿宋_GB2312" w:hAnsi="楷体" w:eastAsia="仿宋_GB2312"/>
          <w:sz w:val="32"/>
          <w:szCs w:val="32"/>
        </w:rPr>
        <w:t xml:space="preserve">                       </w:t>
      </w:r>
    </w:p>
    <w:p>
      <w:pPr>
        <w:adjustRightInd w:val="0"/>
        <w:snapToGrid w:val="0"/>
        <w:spacing w:line="600" w:lineRule="exact"/>
        <w:jc w:val="center"/>
        <w:rPr>
          <w:rFonts w:ascii="黑体" w:eastAsia="黑体" w:cs="宋体"/>
          <w:sz w:val="36"/>
          <w:szCs w:val="36"/>
        </w:rPr>
      </w:pPr>
      <w:r>
        <w:rPr>
          <w:rFonts w:hint="eastAsia" w:ascii="黑体" w:eastAsia="黑体" w:cs="宋体"/>
          <w:sz w:val="36"/>
          <w:szCs w:val="36"/>
        </w:rPr>
        <w:t>第四部分</w:t>
      </w:r>
      <w:r>
        <w:rPr>
          <w:rFonts w:ascii="黑体" w:eastAsia="黑体" w:cs="宋体"/>
          <w:sz w:val="36"/>
          <w:szCs w:val="36"/>
        </w:rPr>
        <w:t xml:space="preserve"> </w:t>
      </w:r>
      <w:r>
        <w:rPr>
          <w:rFonts w:hint="eastAsia" w:ascii="黑体" w:eastAsia="黑体" w:cs="宋体"/>
          <w:sz w:val="36"/>
          <w:szCs w:val="36"/>
        </w:rPr>
        <w:t>名词解释</w:t>
      </w:r>
    </w:p>
    <w:p>
      <w:pPr>
        <w:adjustRightInd w:val="0"/>
        <w:snapToGrid w:val="0"/>
        <w:spacing w:line="600" w:lineRule="exact"/>
        <w:jc w:val="center"/>
        <w:rPr>
          <w:rFonts w:ascii="黑体" w:hAnsi="黑体" w:eastAsia="黑体"/>
          <w:sz w:val="32"/>
          <w:szCs w:val="32"/>
        </w:rPr>
      </w:pPr>
    </w:p>
    <w:p>
      <w:pPr>
        <w:adjustRightInd w:val="0"/>
        <w:snapToGrid w:val="0"/>
        <w:spacing w:line="600" w:lineRule="exact"/>
        <w:ind w:firstLine="640" w:firstLineChars="200"/>
        <w:rPr>
          <w:rFonts w:ascii="仿宋_GB2312" w:hAnsi="仿宋" w:eastAsia="仿宋_GB2312"/>
          <w:sz w:val="32"/>
          <w:szCs w:val="32"/>
        </w:rPr>
      </w:pPr>
      <w:r>
        <w:rPr>
          <w:rFonts w:hint="eastAsia" w:ascii="黑体" w:hAnsi="仿宋" w:eastAsia="黑体"/>
          <w:sz w:val="32"/>
          <w:szCs w:val="32"/>
        </w:rPr>
        <w:t>一、财政拨款收入</w:t>
      </w:r>
      <w:r>
        <w:rPr>
          <w:rFonts w:hint="eastAsia" w:ascii="仿宋_GB2312" w:hAnsi="仿宋" w:eastAsia="仿宋_GB2312"/>
          <w:b/>
          <w:sz w:val="32"/>
          <w:szCs w:val="32"/>
        </w:rPr>
        <w:t>：</w:t>
      </w:r>
      <w:r>
        <w:rPr>
          <w:rFonts w:hint="eastAsia" w:ascii="仿宋_GB2312" w:hAnsi="仿宋" w:eastAsia="仿宋_GB2312"/>
          <w:sz w:val="32"/>
          <w:szCs w:val="32"/>
        </w:rPr>
        <w:t>指部门或单位从同级财政部门取得的财政预算资金。</w:t>
      </w:r>
    </w:p>
    <w:p>
      <w:pPr>
        <w:pStyle w:val="6"/>
        <w:adjustRightInd w:val="0"/>
        <w:snapToGrid w:val="0"/>
        <w:spacing w:line="600" w:lineRule="exact"/>
        <w:ind w:firstLine="627" w:firstLineChars="196"/>
        <w:rPr>
          <w:rFonts w:ascii="黑体" w:hAnsi="黑体" w:eastAsia="黑体"/>
          <w:sz w:val="32"/>
          <w:szCs w:val="32"/>
        </w:rPr>
      </w:pPr>
      <w:r>
        <w:rPr>
          <w:rFonts w:hint="eastAsia" w:ascii="黑体" w:hAnsi="仿宋" w:eastAsia="黑体" w:cs="Times New Roman"/>
          <w:kern w:val="2"/>
          <w:sz w:val="32"/>
          <w:szCs w:val="32"/>
        </w:rPr>
        <w:t>二、事业收入：</w:t>
      </w:r>
      <w:r>
        <w:rPr>
          <w:rFonts w:hint="eastAsia" w:ascii="仿宋_GB2312" w:hAnsi="仿宋" w:eastAsia="仿宋_GB2312" w:cs="Times New Roman"/>
          <w:kern w:val="2"/>
          <w:sz w:val="32"/>
          <w:szCs w:val="32"/>
        </w:rPr>
        <w:t>指事业单位开展专业业务活动及辅助活动所取得的收入。</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三、财政专户管理资金：</w:t>
      </w:r>
      <w:r>
        <w:rPr>
          <w:rFonts w:hint="eastAsia" w:ascii="仿宋_GB2312" w:hAnsi="仿宋" w:eastAsia="仿宋_GB2312" w:cs="Times New Roman"/>
          <w:kern w:val="2"/>
          <w:sz w:val="32"/>
          <w:szCs w:val="32"/>
        </w:rPr>
        <w:t>指按照非税收入管理相关规定，纳入财政专户管理的教育收费等。</w:t>
      </w:r>
    </w:p>
    <w:p>
      <w:pPr>
        <w:pStyle w:val="6"/>
        <w:adjustRightInd w:val="0"/>
        <w:snapToGrid w:val="0"/>
        <w:spacing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四、事业单位经营收入：</w:t>
      </w:r>
      <w:r>
        <w:rPr>
          <w:rFonts w:hint="eastAsia" w:ascii="仿宋_GB2312" w:hAnsi="仿宋" w:eastAsia="仿宋_GB2312" w:cs="Times New Roman"/>
          <w:kern w:val="2"/>
          <w:sz w:val="32"/>
          <w:szCs w:val="32"/>
        </w:rPr>
        <w:t>指事业单位在专业业务活动及其辅助活动之外开展非独立核算经营活动取得的收入。</w:t>
      </w:r>
    </w:p>
    <w:p>
      <w:pPr>
        <w:pStyle w:val="6"/>
        <w:adjustRightInd w:val="0"/>
        <w:snapToGrid w:val="0"/>
        <w:spacing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五、附属单位上缴收入：</w:t>
      </w:r>
      <w:r>
        <w:rPr>
          <w:rFonts w:hint="eastAsia" w:ascii="仿宋_GB2312" w:hAnsi="仿宋" w:eastAsia="仿宋_GB2312" w:cs="Times New Roman"/>
          <w:kern w:val="2"/>
          <w:sz w:val="32"/>
          <w:szCs w:val="32"/>
        </w:rPr>
        <w:t>本单位所属下级单位上缴给本单位的全部收入。</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六、上年结转：</w:t>
      </w:r>
      <w:r>
        <w:rPr>
          <w:rFonts w:hint="eastAsia" w:ascii="仿宋_GB2312" w:hAnsi="仿宋" w:eastAsia="仿宋_GB2312" w:cs="Times New Roman"/>
          <w:kern w:val="2"/>
          <w:sz w:val="32"/>
          <w:szCs w:val="32"/>
        </w:rPr>
        <w:t>指以前年度安排、结转到本年仍按原用途继续使用的资金。</w:t>
      </w:r>
    </w:p>
    <w:p>
      <w:pPr>
        <w:pStyle w:val="6"/>
        <w:adjustRightInd w:val="0"/>
        <w:snapToGrid w:val="0"/>
        <w:spacing w:before="0" w:beforeAutospacing="0" w:after="0" w:afterAutospacing="0" w:line="600" w:lineRule="exact"/>
        <w:ind w:firstLine="627" w:firstLineChars="196"/>
        <w:rPr>
          <w:rFonts w:ascii="仿宋_GB2312" w:hAnsi="仿宋" w:eastAsia="仿宋_GB2312" w:cs="Times New Roman"/>
          <w:kern w:val="2"/>
          <w:sz w:val="32"/>
          <w:szCs w:val="32"/>
        </w:rPr>
      </w:pPr>
      <w:r>
        <w:rPr>
          <w:rFonts w:hint="eastAsia" w:ascii="黑体" w:hAnsi="黑体" w:eastAsia="黑体"/>
          <w:sz w:val="32"/>
          <w:szCs w:val="32"/>
        </w:rPr>
        <w:t>七、结转下年：</w:t>
      </w:r>
      <w:r>
        <w:rPr>
          <w:rFonts w:hint="eastAsia" w:ascii="仿宋_GB2312" w:hAnsi="仿宋" w:eastAsia="仿宋_GB2312" w:cs="Times New Roman"/>
          <w:kern w:val="2"/>
          <w:sz w:val="32"/>
          <w:szCs w:val="32"/>
        </w:rPr>
        <w:t>指以前年度预算安排、因客观条件发生变化无法按原计划实施，需以后年度按原用途继续使用的资金。</w:t>
      </w:r>
    </w:p>
    <w:p>
      <w:pPr>
        <w:pStyle w:val="6"/>
        <w:adjustRightInd w:val="0"/>
        <w:snapToGrid w:val="0"/>
        <w:spacing w:before="0" w:beforeAutospacing="0" w:after="0" w:afterAutospacing="0" w:line="600" w:lineRule="exact"/>
        <w:ind w:firstLine="627" w:firstLineChars="196"/>
        <w:rPr>
          <w:rFonts w:ascii="仿宋_GB2312" w:hAnsi="黑体" w:eastAsia="仿宋_GB2312"/>
          <w:sz w:val="32"/>
          <w:szCs w:val="32"/>
        </w:rPr>
      </w:pPr>
      <w:r>
        <w:rPr>
          <w:rFonts w:hint="eastAsia" w:ascii="黑体" w:hAnsi="黑体" w:eastAsia="黑体"/>
          <w:sz w:val="32"/>
          <w:szCs w:val="32"/>
        </w:rPr>
        <w:t>八、基本支出</w:t>
      </w:r>
      <w:r>
        <w:rPr>
          <w:rFonts w:hint="eastAsia" w:ascii="仿宋_GB2312" w:hAnsi="黑体" w:eastAsia="仿宋_GB2312"/>
          <w:b/>
          <w:sz w:val="32"/>
          <w:szCs w:val="32"/>
        </w:rPr>
        <w:t>：</w:t>
      </w:r>
      <w:r>
        <w:rPr>
          <w:rFonts w:hint="eastAsia" w:ascii="仿宋_GB2312" w:hAnsi="黑体" w:eastAsia="仿宋_GB2312"/>
          <w:sz w:val="32"/>
          <w:szCs w:val="32"/>
        </w:rPr>
        <w:t>指为保障机构正常运转、完成日常工作任务而发生的人员支出和公用支出。</w:t>
      </w:r>
    </w:p>
    <w:p>
      <w:pPr>
        <w:pStyle w:val="6"/>
        <w:spacing w:before="0" w:beforeAutospacing="0" w:after="0" w:afterAutospacing="0" w:line="600" w:lineRule="exact"/>
        <w:ind w:firstLine="627" w:firstLineChars="196"/>
        <w:jc w:val="both"/>
        <w:rPr>
          <w:rFonts w:hint="eastAsia" w:ascii="仿宋_GB2312" w:hAnsi="黑体" w:eastAsia="仿宋_GB2312"/>
          <w:sz w:val="32"/>
          <w:szCs w:val="32"/>
          <w:lang w:eastAsia="zh-CN"/>
        </w:rPr>
      </w:pPr>
      <w:r>
        <w:rPr>
          <w:rFonts w:hint="eastAsia" w:ascii="黑体" w:hAnsi="黑体" w:eastAsia="黑体"/>
          <w:sz w:val="32"/>
          <w:szCs w:val="32"/>
        </w:rPr>
        <w:t>九、项目支出</w:t>
      </w:r>
      <w:r>
        <w:rPr>
          <w:rFonts w:hint="eastAsia" w:ascii="仿宋_GB2312" w:hAnsi="黑体" w:eastAsia="仿宋_GB2312"/>
          <w:b/>
          <w:sz w:val="32"/>
          <w:szCs w:val="32"/>
        </w:rPr>
        <w:t>：</w:t>
      </w:r>
      <w:r>
        <w:rPr>
          <w:rFonts w:hint="eastAsia" w:ascii="仿宋_GB2312" w:hAnsi="黑体" w:eastAsia="仿宋_GB2312"/>
          <w:sz w:val="32"/>
          <w:szCs w:val="32"/>
        </w:rPr>
        <w:t>指在除基本支出之外的支出，主要用于完成特定的工作任务和事业发展目标。</w:t>
      </w:r>
    </w:p>
    <w:p>
      <w:pPr>
        <w:pStyle w:val="6"/>
        <w:spacing w:before="0" w:beforeAutospacing="0" w:after="0" w:afterAutospacing="0" w:line="600" w:lineRule="exact"/>
        <w:ind w:firstLine="627" w:firstLineChars="196"/>
        <w:jc w:val="both"/>
      </w:pPr>
      <w:r>
        <w:rPr>
          <w:rFonts w:ascii="黑体" w:hAnsi="黑体" w:eastAsia="黑体"/>
          <w:sz w:val="32"/>
          <w:szCs w:val="32"/>
        </w:rPr>
        <w:t xml:space="preserve"> </w:t>
      </w:r>
      <w:r>
        <w:rPr>
          <w:rFonts w:hint="eastAsia" w:ascii="黑体" w:hAnsi="黑体" w:eastAsia="黑体"/>
          <w:sz w:val="32"/>
          <w:szCs w:val="32"/>
        </w:rPr>
        <w:t>十、机关运行经费</w:t>
      </w:r>
      <w:r>
        <w:rPr>
          <w:rFonts w:ascii="黑体" w:hAnsi="黑体" w:eastAsia="黑体"/>
          <w:sz w:val="32"/>
          <w:szCs w:val="32"/>
        </w:rPr>
        <w:t>:</w:t>
      </w:r>
      <w:r>
        <w:rPr>
          <w:rFonts w:hint="eastAsia" w:ascii="仿宋_GB2312" w:hAnsi="黑体" w:eastAsia="仿宋_GB2312"/>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imesNewRoman">
    <w:altName w:val="Times New Roman"/>
    <w:panose1 w:val="02020603050405020304"/>
    <w:charset w:val="00"/>
    <w:family w:val="auto"/>
    <w:pitch w:val="default"/>
    <w:sig w:usb0="00000000" w:usb1="00000000" w:usb2="00000029" w:usb3="00000000" w:csb0="6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DB35DA"/>
    <w:multiLevelType w:val="singleLevel"/>
    <w:tmpl w:val="39DB35DA"/>
    <w:lvl w:ilvl="0" w:tentative="0">
      <w:start w:val="1"/>
      <w:numFmt w:val="chineseCounting"/>
      <w:suff w:val="nothing"/>
      <w:lvlText w:val="（%1）"/>
      <w:lvlJc w:val="left"/>
      <w:pPr>
        <w:ind w:left="-10"/>
      </w:pPr>
      <w:rPr>
        <w:rFonts w:hint="eastAsia"/>
      </w:rPr>
    </w:lvl>
  </w:abstractNum>
  <w:abstractNum w:abstractNumId="1">
    <w:nsid w:val="61F34332"/>
    <w:multiLevelType w:val="singleLevel"/>
    <w:tmpl w:val="61F34332"/>
    <w:lvl w:ilvl="0" w:tentative="0">
      <w:start w:val="2"/>
      <w:numFmt w:val="chineseCounting"/>
      <w:suff w:val="nothing"/>
      <w:lvlText w:val="%1、"/>
      <w:lvlJc w:val="left"/>
      <w:rPr>
        <w:rFonts w:cs="Times New Roman"/>
      </w:rPr>
    </w:lvl>
  </w:abstractNum>
  <w:abstractNum w:abstractNumId="2">
    <w:nsid w:val="7F490518"/>
    <w:multiLevelType w:val="singleLevel"/>
    <w:tmpl w:val="7F490518"/>
    <w:lvl w:ilvl="0" w:tentative="0">
      <w:start w:val="2"/>
      <w:numFmt w:val="chineseCounting"/>
      <w:suff w:val="space"/>
      <w:lvlText w:val="第%1部分"/>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NTk3ZDRkNjI3ZWVmYTBlMGVjMzlhNjBjY2FhYWUifQ=="/>
  </w:docVars>
  <w:rsids>
    <w:rsidRoot w:val="00DA7155"/>
    <w:rsid w:val="000003C1"/>
    <w:rsid w:val="00015821"/>
    <w:rsid w:val="00016DCE"/>
    <w:rsid w:val="0002669A"/>
    <w:rsid w:val="00026E99"/>
    <w:rsid w:val="0005090D"/>
    <w:rsid w:val="00052923"/>
    <w:rsid w:val="0005523F"/>
    <w:rsid w:val="000720A0"/>
    <w:rsid w:val="000807F9"/>
    <w:rsid w:val="000812F3"/>
    <w:rsid w:val="000859AC"/>
    <w:rsid w:val="00086992"/>
    <w:rsid w:val="00092BDB"/>
    <w:rsid w:val="0009339B"/>
    <w:rsid w:val="000945B8"/>
    <w:rsid w:val="00095C1B"/>
    <w:rsid w:val="000B486F"/>
    <w:rsid w:val="000B701A"/>
    <w:rsid w:val="000E0593"/>
    <w:rsid w:val="000F001D"/>
    <w:rsid w:val="000F35AE"/>
    <w:rsid w:val="000F6876"/>
    <w:rsid w:val="0012431A"/>
    <w:rsid w:val="00130CD5"/>
    <w:rsid w:val="00143558"/>
    <w:rsid w:val="00145AB0"/>
    <w:rsid w:val="00150DF1"/>
    <w:rsid w:val="00152846"/>
    <w:rsid w:val="00152BF2"/>
    <w:rsid w:val="00161C3F"/>
    <w:rsid w:val="00165C02"/>
    <w:rsid w:val="00166692"/>
    <w:rsid w:val="001771E6"/>
    <w:rsid w:val="001803E7"/>
    <w:rsid w:val="00194491"/>
    <w:rsid w:val="001949D0"/>
    <w:rsid w:val="001A6389"/>
    <w:rsid w:val="001A70D0"/>
    <w:rsid w:val="001C3EA4"/>
    <w:rsid w:val="001C4E9A"/>
    <w:rsid w:val="001D4149"/>
    <w:rsid w:val="001E4162"/>
    <w:rsid w:val="001E717A"/>
    <w:rsid w:val="001F54C8"/>
    <w:rsid w:val="001F739C"/>
    <w:rsid w:val="0020776B"/>
    <w:rsid w:val="00210D08"/>
    <w:rsid w:val="00226E7B"/>
    <w:rsid w:val="00234110"/>
    <w:rsid w:val="002351AD"/>
    <w:rsid w:val="00236C97"/>
    <w:rsid w:val="002458E8"/>
    <w:rsid w:val="0024741B"/>
    <w:rsid w:val="0025289A"/>
    <w:rsid w:val="00263B7E"/>
    <w:rsid w:val="002711F0"/>
    <w:rsid w:val="002725C5"/>
    <w:rsid w:val="00273982"/>
    <w:rsid w:val="00277F2D"/>
    <w:rsid w:val="00280650"/>
    <w:rsid w:val="002911C3"/>
    <w:rsid w:val="00294131"/>
    <w:rsid w:val="002A6B54"/>
    <w:rsid w:val="002C2BDF"/>
    <w:rsid w:val="002C781A"/>
    <w:rsid w:val="002E11DE"/>
    <w:rsid w:val="002E284A"/>
    <w:rsid w:val="002F54FF"/>
    <w:rsid w:val="002F6AE2"/>
    <w:rsid w:val="003066B6"/>
    <w:rsid w:val="00314DEA"/>
    <w:rsid w:val="00351103"/>
    <w:rsid w:val="00352640"/>
    <w:rsid w:val="00353EE7"/>
    <w:rsid w:val="00366256"/>
    <w:rsid w:val="00370476"/>
    <w:rsid w:val="00380820"/>
    <w:rsid w:val="00383CD8"/>
    <w:rsid w:val="003B060D"/>
    <w:rsid w:val="003C17BD"/>
    <w:rsid w:val="003C40FD"/>
    <w:rsid w:val="003D30B2"/>
    <w:rsid w:val="003E096B"/>
    <w:rsid w:val="003E237C"/>
    <w:rsid w:val="003E66A3"/>
    <w:rsid w:val="003E7441"/>
    <w:rsid w:val="003E7E98"/>
    <w:rsid w:val="003F2BE9"/>
    <w:rsid w:val="003F5900"/>
    <w:rsid w:val="00415416"/>
    <w:rsid w:val="00415ED5"/>
    <w:rsid w:val="0042415B"/>
    <w:rsid w:val="00425751"/>
    <w:rsid w:val="0042713F"/>
    <w:rsid w:val="00430C41"/>
    <w:rsid w:val="00431161"/>
    <w:rsid w:val="0044737F"/>
    <w:rsid w:val="00454492"/>
    <w:rsid w:val="00482476"/>
    <w:rsid w:val="0048574C"/>
    <w:rsid w:val="004A6577"/>
    <w:rsid w:val="004A7283"/>
    <w:rsid w:val="004C3BD5"/>
    <w:rsid w:val="00514735"/>
    <w:rsid w:val="00516B0F"/>
    <w:rsid w:val="00532161"/>
    <w:rsid w:val="0053715F"/>
    <w:rsid w:val="00542173"/>
    <w:rsid w:val="00544C35"/>
    <w:rsid w:val="00557E03"/>
    <w:rsid w:val="00562B09"/>
    <w:rsid w:val="00565987"/>
    <w:rsid w:val="00574EF2"/>
    <w:rsid w:val="00577B14"/>
    <w:rsid w:val="00582209"/>
    <w:rsid w:val="00584B72"/>
    <w:rsid w:val="005A1C41"/>
    <w:rsid w:val="005A1CDD"/>
    <w:rsid w:val="005A262C"/>
    <w:rsid w:val="005B0577"/>
    <w:rsid w:val="005B5372"/>
    <w:rsid w:val="005C2187"/>
    <w:rsid w:val="005D2121"/>
    <w:rsid w:val="005E1DBE"/>
    <w:rsid w:val="005E66C6"/>
    <w:rsid w:val="005F1DCD"/>
    <w:rsid w:val="00600DF2"/>
    <w:rsid w:val="00601B50"/>
    <w:rsid w:val="0060284C"/>
    <w:rsid w:val="00642C39"/>
    <w:rsid w:val="00647E00"/>
    <w:rsid w:val="00657804"/>
    <w:rsid w:val="00666BD8"/>
    <w:rsid w:val="00672304"/>
    <w:rsid w:val="00672AEA"/>
    <w:rsid w:val="0069039D"/>
    <w:rsid w:val="00693859"/>
    <w:rsid w:val="00694264"/>
    <w:rsid w:val="006A032A"/>
    <w:rsid w:val="006B17A0"/>
    <w:rsid w:val="006B6125"/>
    <w:rsid w:val="006D39F7"/>
    <w:rsid w:val="006E3F7A"/>
    <w:rsid w:val="006F28D7"/>
    <w:rsid w:val="00700AE0"/>
    <w:rsid w:val="007221FD"/>
    <w:rsid w:val="00722B93"/>
    <w:rsid w:val="007318DE"/>
    <w:rsid w:val="0074251D"/>
    <w:rsid w:val="00752451"/>
    <w:rsid w:val="00752F7A"/>
    <w:rsid w:val="0075731C"/>
    <w:rsid w:val="0076294D"/>
    <w:rsid w:val="00772BCD"/>
    <w:rsid w:val="00796E8E"/>
    <w:rsid w:val="007A0175"/>
    <w:rsid w:val="007A0E2A"/>
    <w:rsid w:val="007B0E13"/>
    <w:rsid w:val="007B6088"/>
    <w:rsid w:val="007D2C1D"/>
    <w:rsid w:val="007E28D7"/>
    <w:rsid w:val="007E36F8"/>
    <w:rsid w:val="00831988"/>
    <w:rsid w:val="00842138"/>
    <w:rsid w:val="00846410"/>
    <w:rsid w:val="00860CC8"/>
    <w:rsid w:val="00863DEC"/>
    <w:rsid w:val="00891055"/>
    <w:rsid w:val="00893638"/>
    <w:rsid w:val="008A4D1E"/>
    <w:rsid w:val="008B0535"/>
    <w:rsid w:val="008D3932"/>
    <w:rsid w:val="008E7426"/>
    <w:rsid w:val="008F1230"/>
    <w:rsid w:val="008F5697"/>
    <w:rsid w:val="00905D7A"/>
    <w:rsid w:val="009154FB"/>
    <w:rsid w:val="00915909"/>
    <w:rsid w:val="00915D08"/>
    <w:rsid w:val="00922AD1"/>
    <w:rsid w:val="00930672"/>
    <w:rsid w:val="00935BC1"/>
    <w:rsid w:val="00943723"/>
    <w:rsid w:val="00960E56"/>
    <w:rsid w:val="00962167"/>
    <w:rsid w:val="009640FF"/>
    <w:rsid w:val="009730E4"/>
    <w:rsid w:val="00976479"/>
    <w:rsid w:val="0098716A"/>
    <w:rsid w:val="009874BC"/>
    <w:rsid w:val="0099011F"/>
    <w:rsid w:val="00990C8B"/>
    <w:rsid w:val="009A3572"/>
    <w:rsid w:val="009A5CC2"/>
    <w:rsid w:val="009C10D1"/>
    <w:rsid w:val="009C7F13"/>
    <w:rsid w:val="009E5A38"/>
    <w:rsid w:val="009F2E05"/>
    <w:rsid w:val="00A13C61"/>
    <w:rsid w:val="00A25CFC"/>
    <w:rsid w:val="00A26644"/>
    <w:rsid w:val="00A266F5"/>
    <w:rsid w:val="00A33786"/>
    <w:rsid w:val="00A34D62"/>
    <w:rsid w:val="00A46E97"/>
    <w:rsid w:val="00A51BB2"/>
    <w:rsid w:val="00A566E8"/>
    <w:rsid w:val="00A62DE6"/>
    <w:rsid w:val="00A64B80"/>
    <w:rsid w:val="00A66984"/>
    <w:rsid w:val="00A759CE"/>
    <w:rsid w:val="00A80366"/>
    <w:rsid w:val="00AA019E"/>
    <w:rsid w:val="00AA63E5"/>
    <w:rsid w:val="00AC6A43"/>
    <w:rsid w:val="00AD02CD"/>
    <w:rsid w:val="00AD7F7C"/>
    <w:rsid w:val="00AE398A"/>
    <w:rsid w:val="00AE6B99"/>
    <w:rsid w:val="00B106E8"/>
    <w:rsid w:val="00B214F8"/>
    <w:rsid w:val="00B24E1E"/>
    <w:rsid w:val="00B31578"/>
    <w:rsid w:val="00B37364"/>
    <w:rsid w:val="00B40A13"/>
    <w:rsid w:val="00B51464"/>
    <w:rsid w:val="00B60BEC"/>
    <w:rsid w:val="00B679AC"/>
    <w:rsid w:val="00B7597E"/>
    <w:rsid w:val="00B9441F"/>
    <w:rsid w:val="00B96C93"/>
    <w:rsid w:val="00BA005D"/>
    <w:rsid w:val="00BE6210"/>
    <w:rsid w:val="00BF40E0"/>
    <w:rsid w:val="00C07806"/>
    <w:rsid w:val="00C10BDA"/>
    <w:rsid w:val="00C25627"/>
    <w:rsid w:val="00C32C69"/>
    <w:rsid w:val="00C34B8B"/>
    <w:rsid w:val="00C415C6"/>
    <w:rsid w:val="00C56441"/>
    <w:rsid w:val="00C6198B"/>
    <w:rsid w:val="00C720B7"/>
    <w:rsid w:val="00C82039"/>
    <w:rsid w:val="00C83D02"/>
    <w:rsid w:val="00C87C34"/>
    <w:rsid w:val="00C907C3"/>
    <w:rsid w:val="00C925A2"/>
    <w:rsid w:val="00CB3A30"/>
    <w:rsid w:val="00CC691C"/>
    <w:rsid w:val="00CD124A"/>
    <w:rsid w:val="00CE5011"/>
    <w:rsid w:val="00CE506D"/>
    <w:rsid w:val="00CF2676"/>
    <w:rsid w:val="00CF68DB"/>
    <w:rsid w:val="00D23BD9"/>
    <w:rsid w:val="00D256A1"/>
    <w:rsid w:val="00D37F92"/>
    <w:rsid w:val="00D41522"/>
    <w:rsid w:val="00D46BEC"/>
    <w:rsid w:val="00D62F2F"/>
    <w:rsid w:val="00D675E1"/>
    <w:rsid w:val="00D75DE3"/>
    <w:rsid w:val="00D917DD"/>
    <w:rsid w:val="00D93A0A"/>
    <w:rsid w:val="00DA114A"/>
    <w:rsid w:val="00DA6329"/>
    <w:rsid w:val="00DA7155"/>
    <w:rsid w:val="00DD3619"/>
    <w:rsid w:val="00DD3DB1"/>
    <w:rsid w:val="00DE43E7"/>
    <w:rsid w:val="00DE4AFE"/>
    <w:rsid w:val="00DF08DE"/>
    <w:rsid w:val="00E141EB"/>
    <w:rsid w:val="00E14721"/>
    <w:rsid w:val="00E31623"/>
    <w:rsid w:val="00E33FD5"/>
    <w:rsid w:val="00E34B24"/>
    <w:rsid w:val="00E35319"/>
    <w:rsid w:val="00E36BDC"/>
    <w:rsid w:val="00E6025A"/>
    <w:rsid w:val="00E60B42"/>
    <w:rsid w:val="00E616B4"/>
    <w:rsid w:val="00E658C5"/>
    <w:rsid w:val="00E717A2"/>
    <w:rsid w:val="00E955F8"/>
    <w:rsid w:val="00E9565D"/>
    <w:rsid w:val="00EA0754"/>
    <w:rsid w:val="00EA43F9"/>
    <w:rsid w:val="00EB3D13"/>
    <w:rsid w:val="00EB6ECB"/>
    <w:rsid w:val="00EC18BD"/>
    <w:rsid w:val="00EE3CAA"/>
    <w:rsid w:val="00EE56A3"/>
    <w:rsid w:val="00EF601B"/>
    <w:rsid w:val="00F177FD"/>
    <w:rsid w:val="00F20784"/>
    <w:rsid w:val="00F354AA"/>
    <w:rsid w:val="00F43207"/>
    <w:rsid w:val="00F447BE"/>
    <w:rsid w:val="00F45865"/>
    <w:rsid w:val="00F6260A"/>
    <w:rsid w:val="00F62848"/>
    <w:rsid w:val="00F65F2C"/>
    <w:rsid w:val="00F708D4"/>
    <w:rsid w:val="00F738CA"/>
    <w:rsid w:val="00F74D65"/>
    <w:rsid w:val="00FC0EE2"/>
    <w:rsid w:val="00FC4888"/>
    <w:rsid w:val="00FE398C"/>
    <w:rsid w:val="00FE475B"/>
    <w:rsid w:val="00FF6EF3"/>
    <w:rsid w:val="01596278"/>
    <w:rsid w:val="016E6CC2"/>
    <w:rsid w:val="01C71619"/>
    <w:rsid w:val="01FF05B0"/>
    <w:rsid w:val="026D0439"/>
    <w:rsid w:val="02B96468"/>
    <w:rsid w:val="031228B1"/>
    <w:rsid w:val="04847570"/>
    <w:rsid w:val="071C050F"/>
    <w:rsid w:val="0A2037DA"/>
    <w:rsid w:val="0AF62EF5"/>
    <w:rsid w:val="0D1053D5"/>
    <w:rsid w:val="0D5D20E6"/>
    <w:rsid w:val="0D9C7FD3"/>
    <w:rsid w:val="0E283076"/>
    <w:rsid w:val="0E757674"/>
    <w:rsid w:val="106D0FD1"/>
    <w:rsid w:val="12477F61"/>
    <w:rsid w:val="134537D1"/>
    <w:rsid w:val="14377D86"/>
    <w:rsid w:val="15400323"/>
    <w:rsid w:val="157E5BF4"/>
    <w:rsid w:val="166158D1"/>
    <w:rsid w:val="180B7FF5"/>
    <w:rsid w:val="190A62BF"/>
    <w:rsid w:val="1AD46292"/>
    <w:rsid w:val="1C4F0C9B"/>
    <w:rsid w:val="1CB209D8"/>
    <w:rsid w:val="2347066D"/>
    <w:rsid w:val="234863C1"/>
    <w:rsid w:val="24A26144"/>
    <w:rsid w:val="29366156"/>
    <w:rsid w:val="299D3175"/>
    <w:rsid w:val="2A703C9F"/>
    <w:rsid w:val="2CCD473A"/>
    <w:rsid w:val="314A7529"/>
    <w:rsid w:val="330E785B"/>
    <w:rsid w:val="3454098B"/>
    <w:rsid w:val="34E03158"/>
    <w:rsid w:val="352F0DFC"/>
    <w:rsid w:val="373C29F8"/>
    <w:rsid w:val="38704314"/>
    <w:rsid w:val="39661319"/>
    <w:rsid w:val="3A657415"/>
    <w:rsid w:val="3B7C3B77"/>
    <w:rsid w:val="3C4036DC"/>
    <w:rsid w:val="3CFA4104"/>
    <w:rsid w:val="3E4B7EE3"/>
    <w:rsid w:val="3E790053"/>
    <w:rsid w:val="3FB337BE"/>
    <w:rsid w:val="452A1AD1"/>
    <w:rsid w:val="45965BB9"/>
    <w:rsid w:val="48B93FDC"/>
    <w:rsid w:val="48F32361"/>
    <w:rsid w:val="494A0E00"/>
    <w:rsid w:val="49A50870"/>
    <w:rsid w:val="4AEE3DA2"/>
    <w:rsid w:val="4C102E68"/>
    <w:rsid w:val="4CFF70C4"/>
    <w:rsid w:val="4F03345C"/>
    <w:rsid w:val="52E80BEB"/>
    <w:rsid w:val="53311A16"/>
    <w:rsid w:val="54F241EA"/>
    <w:rsid w:val="55302C55"/>
    <w:rsid w:val="594E2CBC"/>
    <w:rsid w:val="597B7BEF"/>
    <w:rsid w:val="5D075BDA"/>
    <w:rsid w:val="5E6C2A09"/>
    <w:rsid w:val="5F033F04"/>
    <w:rsid w:val="5F2E3272"/>
    <w:rsid w:val="60D97EB0"/>
    <w:rsid w:val="626F65CD"/>
    <w:rsid w:val="643D0718"/>
    <w:rsid w:val="657B402C"/>
    <w:rsid w:val="65DF6369"/>
    <w:rsid w:val="65F25193"/>
    <w:rsid w:val="670009BB"/>
    <w:rsid w:val="676B5856"/>
    <w:rsid w:val="67A9053E"/>
    <w:rsid w:val="69B9159D"/>
    <w:rsid w:val="6A4D3944"/>
    <w:rsid w:val="6C797180"/>
    <w:rsid w:val="6CE832CB"/>
    <w:rsid w:val="6DD20CC9"/>
    <w:rsid w:val="6DE6068C"/>
    <w:rsid w:val="6EF21EEB"/>
    <w:rsid w:val="71E90372"/>
    <w:rsid w:val="72882D68"/>
    <w:rsid w:val="72CC459A"/>
    <w:rsid w:val="73652C13"/>
    <w:rsid w:val="73BF60AD"/>
    <w:rsid w:val="78620F7F"/>
    <w:rsid w:val="79E90C11"/>
    <w:rsid w:val="7B104076"/>
    <w:rsid w:val="7E19249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autoRedefine/>
    <w:qFormat/>
    <w:locked/>
    <w:uiPriority w:val="0"/>
    <w:pPr>
      <w:widowControl/>
      <w:spacing w:before="280" w:beforeLines="0" w:after="290" w:afterLines="0" w:line="372" w:lineRule="auto"/>
      <w:outlineLvl w:val="3"/>
    </w:pPr>
    <w:rPr>
      <w:rFonts w:ascii="Cambria" w:hAnsi="Cambria" w:eastAsia="宋体" w:cs="宋体"/>
      <w:b/>
      <w:bCs/>
      <w:kern w:val="0"/>
      <w:sz w:val="28"/>
      <w:szCs w:val="2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ind w:firstLine="560" w:firstLineChars="200"/>
    </w:pPr>
    <w:rPr>
      <w:sz w:val="28"/>
      <w:szCs w:val="20"/>
    </w:rPr>
  </w:style>
  <w:style w:type="paragraph" w:styleId="4">
    <w:name w:val="footer"/>
    <w:basedOn w:val="1"/>
    <w:link w:val="10"/>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basedOn w:val="8"/>
    <w:autoRedefine/>
    <w:qFormat/>
    <w:uiPriority w:val="99"/>
    <w:rPr>
      <w:rFonts w:cs="Times New Roman"/>
      <w:b/>
    </w:rPr>
  </w:style>
  <w:style w:type="character" w:customStyle="1" w:styleId="10">
    <w:name w:val="页脚 Char"/>
    <w:basedOn w:val="8"/>
    <w:link w:val="4"/>
    <w:autoRedefine/>
    <w:qFormat/>
    <w:locked/>
    <w:uiPriority w:val="99"/>
    <w:rPr>
      <w:rFonts w:cs="Times New Roman"/>
      <w:sz w:val="18"/>
      <w:szCs w:val="18"/>
    </w:rPr>
  </w:style>
  <w:style w:type="character" w:customStyle="1" w:styleId="11">
    <w:name w:val="页眉 Char"/>
    <w:basedOn w:val="8"/>
    <w:link w:val="5"/>
    <w:autoRedefine/>
    <w:semiHidden/>
    <w:qFormat/>
    <w:locked/>
    <w:uiPriority w:val="99"/>
    <w:rPr>
      <w:rFonts w:cs="Times New Roman"/>
      <w:sz w:val="18"/>
      <w:szCs w:val="18"/>
    </w:rPr>
  </w:style>
  <w:style w:type="paragraph" w:customStyle="1" w:styleId="12">
    <w:name w:val="List Paragraph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6206</Words>
  <Characters>7213</Characters>
  <Lines>113</Lines>
  <Paragraphs>31</Paragraphs>
  <TotalTime>131</TotalTime>
  <ScaleCrop>false</ScaleCrop>
  <LinksUpToDate>false</LinksUpToDate>
  <CharactersWithSpaces>9641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2021-02-01T00:18:00Z</dcterms:created>
  <dc:creator>刘海</dc:creator>
  <cp:lastModifiedBy>Administrator</cp:lastModifiedBy>
  <cp:lastPrinted>2022-03-04T01:13:00Z</cp:lastPrinted>
  <dcterms:modified xsi:type="dcterms:W3CDTF">2024-04-02T00:39:02Z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7A83B8FB721D47CBBFA376531D257072</vt:lpwstr>
  </property>
</Properties>
</file>