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78BDD">
      <w:pPr>
        <w:pStyle w:val="10"/>
        <w:widowControl/>
        <w:ind w:left="525" w:hanging="896"/>
        <w:jc w:val="center"/>
        <w:rPr>
          <w:rFonts w:ascii="宋体" w:cs="宋体"/>
          <w:b/>
          <w:color w:val="000000"/>
          <w:sz w:val="36"/>
          <w:szCs w:val="36"/>
        </w:rPr>
      </w:pPr>
      <w:r>
        <w:rPr>
          <w:rFonts w:ascii="宋体" w:hAnsi="宋体" w:cs="宋体"/>
          <w:b/>
          <w:color w:val="000000"/>
          <w:sz w:val="36"/>
          <w:szCs w:val="36"/>
        </w:rPr>
        <w:t xml:space="preserve">  </w:t>
      </w:r>
    </w:p>
    <w:p w14:paraId="5519AE44">
      <w:pPr>
        <w:pStyle w:val="10"/>
        <w:widowControl/>
        <w:jc w:val="center"/>
        <w:rPr>
          <w:rFonts w:asci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36"/>
          <w:szCs w:val="36"/>
        </w:rPr>
        <w:t>淮南市谢家集区人民法院</w:t>
      </w:r>
      <w:r>
        <w:rPr>
          <w:rFonts w:hint="eastAsia" w:ascii="仿宋_GB2312" w:eastAsia="仿宋_GB2312" w:cs="仿宋_GB2312"/>
          <w:b/>
          <w:color w:val="000000"/>
          <w:sz w:val="36"/>
          <w:szCs w:val="36"/>
          <w:lang w:eastAsia="zh-CN"/>
        </w:rPr>
        <w:t>2023</w:t>
      </w:r>
      <w:r>
        <w:rPr>
          <w:rFonts w:hint="eastAsia" w:ascii="仿宋_GB2312" w:eastAsia="仿宋_GB2312" w:cs="仿宋_GB2312"/>
          <w:b/>
          <w:color w:val="000000"/>
          <w:sz w:val="36"/>
          <w:szCs w:val="36"/>
        </w:rPr>
        <w:t>年</w:t>
      </w:r>
      <w:r>
        <w:rPr>
          <w:rFonts w:hint="eastAsia" w:ascii="宋体" w:hAnsi="宋体" w:cs="宋体"/>
          <w:b/>
          <w:color w:val="000000"/>
          <w:sz w:val="36"/>
          <w:szCs w:val="36"/>
        </w:rPr>
        <w:t>度一般公共预算财政</w:t>
      </w:r>
    </w:p>
    <w:p w14:paraId="54C54F56">
      <w:pPr>
        <w:pStyle w:val="10"/>
        <w:widowControl/>
        <w:jc w:val="center"/>
        <w:rPr>
          <w:rFonts w:asci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36"/>
          <w:szCs w:val="36"/>
        </w:rPr>
        <w:t>拨款</w:t>
      </w:r>
      <w:r>
        <w:rPr>
          <w:rFonts w:ascii="仿宋_GB2312" w:eastAsia="仿宋_GB2312" w:cs="仿宋_GB2312"/>
          <w:b/>
          <w:color w:val="000000"/>
          <w:sz w:val="36"/>
          <w:szCs w:val="36"/>
        </w:rPr>
        <w:t>“</w:t>
      </w:r>
      <w:r>
        <w:rPr>
          <w:rFonts w:hint="eastAsia" w:ascii="仿宋_GB2312" w:eastAsia="仿宋_GB2312" w:cs="仿宋_GB2312"/>
          <w:b/>
          <w:color w:val="000000"/>
          <w:sz w:val="36"/>
          <w:szCs w:val="36"/>
        </w:rPr>
        <w:t>三公</w:t>
      </w:r>
      <w:r>
        <w:rPr>
          <w:rFonts w:hint="eastAsia" w:ascii="宋体" w:hAnsi="宋体" w:cs="宋体"/>
          <w:b/>
          <w:color w:val="000000"/>
          <w:sz w:val="36"/>
          <w:szCs w:val="36"/>
        </w:rPr>
        <w:t>”</w:t>
      </w:r>
      <w:r>
        <w:rPr>
          <w:rFonts w:hint="eastAsia" w:ascii="仿宋_GB2312" w:eastAsia="仿宋_GB2312" w:cs="仿宋_GB2312"/>
          <w:b/>
          <w:color w:val="000000"/>
          <w:sz w:val="36"/>
          <w:szCs w:val="36"/>
        </w:rPr>
        <w:t>经费</w:t>
      </w:r>
      <w:r>
        <w:rPr>
          <w:rFonts w:hint="eastAsia" w:ascii="宋体" w:hAnsi="宋体" w:cs="宋体"/>
          <w:b/>
          <w:color w:val="000000"/>
          <w:sz w:val="36"/>
          <w:szCs w:val="36"/>
        </w:rPr>
        <w:t>支出决算情况说明</w:t>
      </w:r>
    </w:p>
    <w:p w14:paraId="37338A64">
      <w:pPr>
        <w:pStyle w:val="10"/>
        <w:widowControl/>
        <w:jc w:val="center"/>
        <w:rPr>
          <w:rFonts w:ascii="??_GB2312" w:eastAsia="Times New Roman" w:cs="??_GB2312"/>
          <w:color w:val="000000"/>
          <w:sz w:val="32"/>
          <w:szCs w:val="32"/>
        </w:rPr>
      </w:pPr>
      <w:r>
        <w:rPr>
          <w:rFonts w:ascii="??_GB2312" w:eastAsia="Times New Roman" w:cs="??_GB2312"/>
          <w:color w:val="000000"/>
          <w:sz w:val="32"/>
          <w:szCs w:val="32"/>
        </w:rPr>
        <w:t xml:space="preserve"> </w:t>
      </w:r>
    </w:p>
    <w:p w14:paraId="75D3652C">
      <w:pPr>
        <w:pStyle w:val="10"/>
        <w:widowControl/>
        <w:snapToGrid w:val="0"/>
        <w:spacing w:line="360" w:lineRule="auto"/>
        <w:jc w:val="center"/>
        <w:rPr>
          <w:rFonts w:ascii="宋体" w:cs="宋体"/>
          <w:color w:val="000000"/>
          <w:sz w:val="6"/>
          <w:szCs w:val="6"/>
        </w:rPr>
      </w:pPr>
      <w:r>
        <w:rPr>
          <w:rFonts w:ascii="宋体" w:hAnsi="宋体" w:cs="宋体"/>
          <w:color w:val="000000"/>
          <w:sz w:val="6"/>
          <w:szCs w:val="6"/>
        </w:rPr>
        <w:t xml:space="preserve"> </w:t>
      </w:r>
    </w:p>
    <w:p w14:paraId="1E3DCC8E">
      <w:pPr>
        <w:pStyle w:val="10"/>
        <w:widowControl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ascii="黑体" w:hAnsi="宋体" w:eastAsia="黑体" w:cs="黑体"/>
          <w:color w:val="000000"/>
          <w:sz w:val="32"/>
          <w:szCs w:val="32"/>
        </w:rPr>
        <w:t xml:space="preserve">    </w:t>
      </w:r>
      <w:r>
        <w:rPr>
          <w:rFonts w:hint="eastAsia" w:ascii="黑体" w:hAnsi="宋体" w:eastAsia="黑体" w:cs="黑体"/>
          <w:color w:val="000000"/>
          <w:sz w:val="32"/>
          <w:szCs w:val="32"/>
        </w:rPr>
        <w:t>一、</w:t>
      </w:r>
      <w:r>
        <w:rPr>
          <w:rFonts w:hint="eastAsia" w:ascii="黑体" w:hAnsi="宋体" w:eastAsia="黑体" w:cs="黑体"/>
          <w:color w:val="000000"/>
          <w:sz w:val="32"/>
          <w:szCs w:val="32"/>
          <w:lang w:eastAsia="zh-CN"/>
        </w:rPr>
        <w:t>2023</w:t>
      </w:r>
      <w:r>
        <w:rPr>
          <w:rFonts w:hint="eastAsia" w:ascii="黑体" w:hAnsi="宋体" w:eastAsia="黑体" w:cs="黑体"/>
          <w:color w:val="000000"/>
          <w:sz w:val="32"/>
          <w:szCs w:val="32"/>
        </w:rPr>
        <w:t>年度一般公共预算财政拨款“三公”经费支出决算表</w:t>
      </w:r>
    </w:p>
    <w:p w14:paraId="047ADE0A">
      <w:pPr>
        <w:pStyle w:val="10"/>
        <w:widowControl/>
        <w:ind w:firstLine="7354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单位：万元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9"/>
        <w:gridCol w:w="2157"/>
        <w:gridCol w:w="2220"/>
      </w:tblGrid>
      <w:tr w14:paraId="44A37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0CD54F">
            <w:pPr>
              <w:pStyle w:val="10"/>
              <w:widowControl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项</w:t>
            </w:r>
            <w:r>
              <w:rPr>
                <w:rFonts w:ascii="宋体" w:hAnsi="宋体" w:cs="宋体"/>
                <w:b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目</w:t>
            </w:r>
          </w:p>
        </w:tc>
        <w:tc>
          <w:tcPr>
            <w:tcW w:w="21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DE700C2">
            <w:pPr>
              <w:pStyle w:val="10"/>
              <w:widowControl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预</w:t>
            </w:r>
            <w:r>
              <w:rPr>
                <w:rFonts w:ascii="宋体" w:hAnsi="宋体" w:cs="宋体"/>
                <w:b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算</w:t>
            </w:r>
            <w:r>
              <w:rPr>
                <w:rFonts w:ascii="宋体" w:hAnsi="宋体" w:cs="宋体"/>
                <w:b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数</w:t>
            </w:r>
          </w:p>
        </w:tc>
        <w:tc>
          <w:tcPr>
            <w:tcW w:w="2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8DE4D4">
            <w:pPr>
              <w:pStyle w:val="10"/>
              <w:widowControl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决</w:t>
            </w:r>
            <w:r>
              <w:rPr>
                <w:rFonts w:ascii="宋体" w:hAnsi="宋体" w:cs="宋体"/>
                <w:b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算</w:t>
            </w:r>
            <w:r>
              <w:rPr>
                <w:rFonts w:ascii="宋体" w:hAnsi="宋体" w:cs="宋体"/>
                <w:b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数</w:t>
            </w:r>
          </w:p>
        </w:tc>
      </w:tr>
      <w:tr w14:paraId="4EEC26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0A5587">
            <w:pPr>
              <w:pStyle w:val="10"/>
              <w:widowControl/>
              <w:jc w:val="center"/>
              <w:rPr>
                <w:rFonts w:ascii="仿宋_GB2312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合</w:t>
            </w:r>
            <w:r>
              <w:rPr>
                <w:rFonts w:ascii="宋体" w:hAnsi="宋体" w:cs="宋体"/>
                <w:b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计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A868B3F">
            <w:pPr>
              <w:pStyle w:val="10"/>
              <w:widowControl/>
              <w:ind w:firstLine="314" w:firstLineChars="100"/>
              <w:jc w:val="both"/>
              <w:rPr>
                <w:rFonts w:hint="default" w:ascii="仿宋_GB2312" w:eastAsia="仿宋_GB2312" w:cs="仿宋_GB2312"/>
                <w:b/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  <w:lang w:val="en-US" w:eastAsia="zh-CN"/>
              </w:rPr>
              <w:t>106.00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6EA856E">
            <w:pPr>
              <w:pStyle w:val="10"/>
              <w:widowControl/>
              <w:jc w:val="center"/>
              <w:rPr>
                <w:rFonts w:hint="default" w:ascii="仿宋_GB2312" w:eastAsia="宋体" w:cs="仿宋_GB2312"/>
                <w:b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  <w:lang w:val="en-US" w:eastAsia="zh-CN"/>
              </w:rPr>
              <w:t>69.61</w:t>
            </w:r>
          </w:p>
        </w:tc>
      </w:tr>
      <w:tr w14:paraId="001C79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2A9C52">
            <w:pPr>
              <w:pStyle w:val="10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因公出国（境）费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5D424707">
            <w:pPr>
              <w:pStyle w:val="10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730CD54C">
            <w:pPr>
              <w:pStyle w:val="10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</w:p>
        </w:tc>
      </w:tr>
      <w:tr w14:paraId="4A7F5D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F28C4F">
            <w:pPr>
              <w:pStyle w:val="10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公务接待费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2E3F7346">
            <w:pPr>
              <w:pStyle w:val="10"/>
              <w:widowControl/>
              <w:jc w:val="left"/>
              <w:rPr>
                <w:rFonts w:hint="default" w:ascii="仿宋_GB2312" w:eastAsia="宋体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  <w:r>
              <w:rPr>
                <w:rFonts w:ascii="宋体" w:hAnsi="宋体" w:cs="宋体"/>
                <w:color w:val="000000"/>
                <w:sz w:val="32"/>
                <w:szCs w:val="32"/>
              </w:rPr>
              <w:t>2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  <w:lang w:val="en-US" w:eastAsia="zh-CN"/>
              </w:rPr>
              <w:t>.00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10C102D8">
            <w:pPr>
              <w:pStyle w:val="10"/>
              <w:widowControl/>
              <w:jc w:val="left"/>
              <w:rPr>
                <w:rFonts w:hint="default" w:ascii="仿宋_GB2312" w:eastAsia="宋体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  <w:lang w:val="en-US" w:eastAsia="zh-CN"/>
              </w:rPr>
              <w:t>0.19</w:t>
            </w:r>
          </w:p>
        </w:tc>
      </w:tr>
      <w:tr w14:paraId="57CB9D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3D7767">
            <w:pPr>
              <w:pStyle w:val="10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公务用车购置及运行维护费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17DCD140">
            <w:pPr>
              <w:pStyle w:val="10"/>
              <w:widowControl/>
              <w:jc w:val="left"/>
              <w:rPr>
                <w:rFonts w:hint="default" w:ascii="仿宋_GB2312" w:eastAsia="宋体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  <w:lang w:val="en-US" w:eastAsia="zh-CN"/>
              </w:rPr>
              <w:t>104.00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5EF486B4">
            <w:pPr>
              <w:pStyle w:val="10"/>
              <w:widowControl/>
              <w:jc w:val="left"/>
              <w:rPr>
                <w:rFonts w:hint="default" w:ascii="仿宋_GB2312" w:eastAsia="宋体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  <w:lang w:val="en-US" w:eastAsia="zh-CN"/>
              </w:rPr>
              <w:t>69.42</w:t>
            </w:r>
          </w:p>
        </w:tc>
      </w:tr>
      <w:tr w14:paraId="4C4DDF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A85BBA">
            <w:pPr>
              <w:pStyle w:val="10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其中：公务用车运行维护费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53F7F932">
            <w:pPr>
              <w:pStyle w:val="10"/>
              <w:widowControl/>
              <w:jc w:val="left"/>
              <w:rPr>
                <w:rFonts w:hint="default" w:ascii="仿宋_GB2312" w:eastAsia="宋体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  <w:lang w:val="en-US" w:eastAsia="zh-CN"/>
              </w:rPr>
              <w:t>34.00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5BE72DC3">
            <w:pPr>
              <w:pStyle w:val="10"/>
              <w:widowControl/>
              <w:jc w:val="left"/>
              <w:rPr>
                <w:rFonts w:hint="default" w:ascii="仿宋_GB2312" w:eastAsia="宋体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  <w:lang w:val="en-US" w:eastAsia="zh-CN"/>
              </w:rPr>
              <w:t>33.95</w:t>
            </w:r>
          </w:p>
        </w:tc>
      </w:tr>
      <w:tr w14:paraId="56AF9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19C35E">
            <w:pPr>
              <w:pStyle w:val="10"/>
              <w:widowControl/>
              <w:jc w:val="left"/>
              <w:rPr>
                <w:rFonts w:asci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sz w:val="32"/>
                <w:szCs w:val="32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公务用车购置费</w:t>
            </w:r>
            <w:r>
              <w:rPr>
                <w:rFonts w:ascii="宋体" w:hAnsi="宋体" w:cs="宋体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11AD72CA">
            <w:pPr>
              <w:pStyle w:val="10"/>
              <w:widowControl/>
              <w:jc w:val="left"/>
              <w:rPr>
                <w:rFonts w:hint="default" w:ascii="仿宋_GB2312" w:eastAsia="宋体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  <w:lang w:val="en-US" w:eastAsia="zh-CN"/>
              </w:rPr>
              <w:t>70.00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0C4786A5">
            <w:pPr>
              <w:pStyle w:val="10"/>
              <w:widowControl/>
              <w:jc w:val="left"/>
              <w:rPr>
                <w:rFonts w:hint="default" w:ascii="仿宋_GB2312" w:eastAsia="宋体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　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  <w:lang w:val="en-US" w:eastAsia="zh-CN"/>
              </w:rPr>
              <w:t>35.47</w:t>
            </w:r>
          </w:p>
        </w:tc>
      </w:tr>
    </w:tbl>
    <w:p w14:paraId="74A68823">
      <w:pPr>
        <w:pStyle w:val="10"/>
        <w:widowControl/>
        <w:ind w:firstLine="640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ascii="黑体" w:hAnsi="宋体" w:eastAsia="黑体" w:cs="黑体"/>
          <w:color w:val="000000"/>
          <w:sz w:val="32"/>
          <w:szCs w:val="32"/>
        </w:rPr>
        <w:t xml:space="preserve">                                      </w:t>
      </w:r>
    </w:p>
    <w:p w14:paraId="7D94D6FF">
      <w:pPr>
        <w:pStyle w:val="10"/>
        <w:widowControl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ascii="黑体" w:hAnsi="宋体" w:eastAsia="黑体" w:cs="黑体"/>
          <w:color w:val="000000"/>
          <w:sz w:val="32"/>
          <w:szCs w:val="32"/>
        </w:rPr>
        <w:t xml:space="preserve">    </w:t>
      </w:r>
      <w:r>
        <w:rPr>
          <w:rFonts w:hint="eastAsia" w:ascii="黑体" w:hAnsi="宋体" w:eastAsia="黑体" w:cs="黑体"/>
          <w:color w:val="000000"/>
          <w:sz w:val="32"/>
          <w:szCs w:val="32"/>
        </w:rPr>
        <w:t>二、</w:t>
      </w:r>
      <w:r>
        <w:rPr>
          <w:rFonts w:hint="eastAsia" w:ascii="黑体" w:hAnsi="宋体" w:eastAsia="黑体" w:cs="黑体"/>
          <w:color w:val="000000"/>
          <w:sz w:val="32"/>
          <w:szCs w:val="32"/>
          <w:lang w:eastAsia="zh-CN"/>
        </w:rPr>
        <w:t>2023</w:t>
      </w:r>
      <w:r>
        <w:rPr>
          <w:rFonts w:hint="eastAsia" w:ascii="黑体" w:hAnsi="宋体" w:eastAsia="黑体" w:cs="黑体"/>
          <w:color w:val="000000"/>
          <w:sz w:val="32"/>
          <w:szCs w:val="32"/>
        </w:rPr>
        <w:t>年度一般公共预算财政拨款“三公”经费支出情况说明</w:t>
      </w:r>
    </w:p>
    <w:p w14:paraId="35D711A7">
      <w:pPr>
        <w:pStyle w:val="10"/>
        <w:widowControl/>
        <w:ind w:firstLine="640"/>
        <w:rPr>
          <w:rFonts w:ascii="仿宋_GB2312" w:eastAsia="仿宋_GB2312" w:cs="仿宋_GB2312"/>
          <w:b/>
          <w:color w:val="000000"/>
          <w:sz w:val="32"/>
          <w:szCs w:val="32"/>
        </w:rPr>
      </w:pPr>
      <w:r>
        <w:rPr>
          <w:rFonts w:ascii="??_GB2312" w:eastAsia="Times New Roman" w:cs="??_GB2312"/>
          <w:color w:val="000000"/>
          <w:sz w:val="32"/>
          <w:szCs w:val="32"/>
        </w:rPr>
        <w:t>（一）一般公共预算财政拨款</w:t>
      </w:r>
      <w:r>
        <w:rPr>
          <w:rFonts w:eastAsia="Times New Roman" w:cs="Calibri"/>
          <w:color w:val="000000"/>
          <w:sz w:val="32"/>
          <w:szCs w:val="32"/>
        </w:rPr>
        <w:t>“</w:t>
      </w:r>
      <w:r>
        <w:rPr>
          <w:rFonts w:ascii="??_GB2312" w:eastAsia="Times New Roman" w:cs="??_GB2312"/>
          <w:color w:val="000000"/>
          <w:sz w:val="32"/>
          <w:szCs w:val="32"/>
        </w:rPr>
        <w:t>三公</w:t>
      </w:r>
      <w:r>
        <w:rPr>
          <w:rFonts w:eastAsia="Times New Roman" w:cs="Calibri"/>
          <w:color w:val="000000"/>
          <w:sz w:val="32"/>
          <w:szCs w:val="32"/>
        </w:rPr>
        <w:t>”</w:t>
      </w:r>
      <w:r>
        <w:rPr>
          <w:rFonts w:ascii="??_GB2312" w:eastAsia="Times New Roman" w:cs="??_GB2312"/>
          <w:color w:val="000000"/>
          <w:sz w:val="32"/>
          <w:szCs w:val="32"/>
        </w:rPr>
        <w:t>经费支出决算总体情况说明。</w:t>
      </w:r>
    </w:p>
    <w:p w14:paraId="197A994F">
      <w:pPr>
        <w:pStyle w:val="10"/>
        <w:widowControl/>
        <w:ind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淮南市谢家集区人民法院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2023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年度一般公共预算财政拨款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三公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”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经费支出预算为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106.00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万元，支出决算为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69.61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万元，完成预算的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65.66</w:t>
      </w:r>
      <w:r>
        <w:rPr>
          <w:rFonts w:ascii="仿宋_GB2312" w:eastAsia="仿宋_GB2312" w:cs="仿宋_GB2312"/>
          <w:color w:val="000000"/>
          <w:sz w:val="32"/>
          <w:szCs w:val="32"/>
        </w:rPr>
        <w:t>%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，较上年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增加39.8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万元，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增长133.5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%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决算数小于预算数的主要原因是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厉行勤俭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节约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，严格控制费用支出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。决算数较上年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增加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的主要原因是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2023年支付燃油费比2022年多，2023年购买了两辆执法执勤用车。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为全面反映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三公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”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经费支出，本次公布的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三公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”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经费决算为部门汇总数，包含单位本级和所属单位。</w:t>
      </w:r>
    </w:p>
    <w:p w14:paraId="623F3407">
      <w:pPr>
        <w:pStyle w:val="10"/>
        <w:widowControl/>
        <w:ind w:firstLine="640"/>
        <w:rPr>
          <w:rFonts w:ascii="??_GB2312" w:eastAsia="Times New Roman" w:cs="??_GB2312"/>
          <w:color w:val="000000"/>
          <w:sz w:val="32"/>
          <w:szCs w:val="32"/>
        </w:rPr>
      </w:pPr>
      <w:r>
        <w:rPr>
          <w:rFonts w:ascii="??_GB2312" w:eastAsia="Times New Roman" w:cs="??_GB2312"/>
          <w:color w:val="000000"/>
          <w:sz w:val="32"/>
          <w:szCs w:val="32"/>
        </w:rPr>
        <w:t>（二）一般公共预算财政拨款</w:t>
      </w:r>
      <w:r>
        <w:rPr>
          <w:rFonts w:eastAsia="Times New Roman" w:cs="Calibri"/>
          <w:color w:val="000000"/>
          <w:sz w:val="32"/>
          <w:szCs w:val="32"/>
        </w:rPr>
        <w:t>“</w:t>
      </w:r>
      <w:r>
        <w:rPr>
          <w:rFonts w:ascii="??_GB2312" w:eastAsia="Times New Roman" w:cs="??_GB2312"/>
          <w:color w:val="000000"/>
          <w:sz w:val="32"/>
          <w:szCs w:val="32"/>
        </w:rPr>
        <w:t>三公</w:t>
      </w:r>
      <w:r>
        <w:rPr>
          <w:rFonts w:eastAsia="Times New Roman" w:cs="Calibri"/>
          <w:color w:val="000000"/>
          <w:sz w:val="32"/>
          <w:szCs w:val="32"/>
        </w:rPr>
        <w:t>”</w:t>
      </w:r>
      <w:r>
        <w:rPr>
          <w:rFonts w:ascii="??_GB2312" w:eastAsia="Times New Roman" w:cs="??_GB2312"/>
          <w:color w:val="000000"/>
          <w:sz w:val="32"/>
          <w:szCs w:val="32"/>
        </w:rPr>
        <w:t>经费支出决算具体情况说明。</w:t>
      </w:r>
    </w:p>
    <w:p w14:paraId="0EF81211">
      <w:pPr>
        <w:pStyle w:val="10"/>
        <w:widowControl/>
        <w:ind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淮南市谢家集区人民法院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2023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年度一般公共预算财政拨款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三公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”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经费支出决算中，因公出国（境）费支出决算</w:t>
      </w:r>
      <w:r>
        <w:rPr>
          <w:rFonts w:ascii="仿宋_GB2312" w:eastAsia="仿宋_GB2312" w:cs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万元，占</w:t>
      </w:r>
      <w:r>
        <w:rPr>
          <w:rFonts w:ascii="仿宋_GB2312" w:eastAsia="仿宋_GB2312" w:cs="仿宋_GB2312"/>
          <w:color w:val="000000"/>
          <w:sz w:val="32"/>
          <w:szCs w:val="32"/>
        </w:rPr>
        <w:t>0%;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公务接待费支出决算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0.19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0.27</w:t>
      </w:r>
      <w:r>
        <w:rPr>
          <w:rFonts w:ascii="仿宋_GB2312" w:eastAsia="仿宋_GB2312" w:cs="仿宋_GB2312"/>
          <w:color w:val="000000"/>
          <w:sz w:val="32"/>
          <w:szCs w:val="32"/>
        </w:rPr>
        <w:t>%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；公务用车购置及运行维护费支出决算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69.42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99.73</w:t>
      </w:r>
      <w:r>
        <w:rPr>
          <w:rFonts w:ascii="仿宋_GB2312" w:eastAsia="仿宋_GB2312" w:cs="仿宋_GB2312"/>
          <w:color w:val="000000"/>
          <w:sz w:val="32"/>
          <w:szCs w:val="32"/>
        </w:rPr>
        <w:t>%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。具体情况如下：</w:t>
      </w:r>
    </w:p>
    <w:p w14:paraId="56CF6FC3">
      <w:pPr>
        <w:pStyle w:val="10"/>
        <w:widowControl/>
        <w:ind w:firstLine="628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b/>
          <w:color w:val="000000"/>
          <w:sz w:val="32"/>
          <w:szCs w:val="32"/>
        </w:rPr>
        <w:t>1.</w:t>
      </w:r>
      <w:r>
        <w:rPr>
          <w:rFonts w:hint="eastAsia" w:ascii="仿宋_GB2312" w:eastAsia="仿宋_GB2312" w:cs="仿宋_GB2312"/>
          <w:b/>
          <w:color w:val="000000"/>
          <w:sz w:val="32"/>
          <w:szCs w:val="32"/>
        </w:rPr>
        <w:t>因公出国（境）费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预算为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万元，支出决算为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0万元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，完成预算的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%；较上年减少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万元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，下降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0%。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经费使用严格按照《淮南市市直党政机关因公临时出国经费管理办法》（淮财行政〔</w:t>
      </w:r>
      <w:r>
        <w:rPr>
          <w:rFonts w:ascii="仿宋_GB2312" w:eastAsia="仿宋_GB2312" w:cs="仿宋_GB2312"/>
          <w:color w:val="000000"/>
          <w:sz w:val="32"/>
          <w:szCs w:val="32"/>
        </w:rPr>
        <w:t>2014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〕</w:t>
      </w:r>
      <w:r>
        <w:rPr>
          <w:rFonts w:ascii="仿宋_GB2312" w:eastAsia="仿宋_GB2312" w:cs="仿宋_GB2312"/>
          <w:color w:val="000000"/>
          <w:sz w:val="32"/>
          <w:szCs w:val="32"/>
        </w:rPr>
        <w:t>65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号）等相关规定执行。</w:t>
      </w:r>
    </w:p>
    <w:p w14:paraId="6E106F73">
      <w:pPr>
        <w:pStyle w:val="10"/>
        <w:widowControl/>
        <w:ind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b/>
          <w:color w:val="000000"/>
          <w:sz w:val="32"/>
          <w:szCs w:val="32"/>
        </w:rPr>
        <w:t>2.</w:t>
      </w:r>
      <w:r>
        <w:rPr>
          <w:rFonts w:hint="eastAsia" w:ascii="仿宋_GB2312" w:eastAsia="仿宋_GB2312" w:cs="仿宋_GB2312"/>
          <w:b/>
          <w:color w:val="000000"/>
          <w:sz w:val="32"/>
          <w:szCs w:val="32"/>
        </w:rPr>
        <w:t>公务接待费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预算为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万元，支出决算为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0.19万元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,完成预算的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9.5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%；较上年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增加0.19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万元，增长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100%。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决算数小于预算数的主要原因是厉行勤俭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节约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，严格控制费用支出。决算数较上年增加的主要原因是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2022年未有公务接待支出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。202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 xml:space="preserve"> 年淮南市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谢家集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 xml:space="preserve">区人民法院国内公务接待共 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 xml:space="preserve"> 批次（其中外事接待0 批次），20 人次（其中外事接待 0 人次），主要是用于考察学习的人员接待支出。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经费使用贯彻党中央八项规定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sz w:val="32"/>
          <w:szCs w:val="32"/>
        </w:rPr>
        <w:t>、《党政机关厉行节约反对浪费条例》、市委市政府有关具体要求，严格执行《淮南市市直机关公务接待费管理暂行办法》（淮财行政〔</w:t>
      </w:r>
      <w:r>
        <w:rPr>
          <w:rFonts w:ascii="仿宋_GB2312" w:eastAsia="仿宋_GB2312" w:cs="仿宋_GB2312"/>
          <w:color w:val="000000"/>
          <w:sz w:val="32"/>
          <w:szCs w:val="32"/>
        </w:rPr>
        <w:t>2014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〕</w:t>
      </w:r>
      <w:r>
        <w:rPr>
          <w:rFonts w:ascii="仿宋_GB2312" w:eastAsia="仿宋_GB2312" w:cs="仿宋_GB2312"/>
          <w:color w:val="000000"/>
          <w:sz w:val="32"/>
          <w:szCs w:val="32"/>
        </w:rPr>
        <w:t>581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号）相关规定。</w:t>
      </w:r>
    </w:p>
    <w:p w14:paraId="5F336A6A">
      <w:pPr>
        <w:pStyle w:val="10"/>
        <w:widowControl/>
        <w:ind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b/>
          <w:color w:val="000000"/>
          <w:sz w:val="32"/>
          <w:szCs w:val="32"/>
        </w:rPr>
        <w:t>3.</w:t>
      </w:r>
      <w:r>
        <w:rPr>
          <w:rFonts w:hint="eastAsia" w:ascii="仿宋_GB2312" w:eastAsia="仿宋_GB2312" w:cs="仿宋_GB2312"/>
          <w:b/>
          <w:color w:val="000000"/>
          <w:sz w:val="32"/>
          <w:szCs w:val="32"/>
        </w:rPr>
        <w:t>公务用车购置及运行维护费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预算为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104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万元，支出决算为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69.42万元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，完成预算的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66.75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%；较上年增加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39.61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，增长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132.87%。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决算数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小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于预算数的主要原因是厉行勤俭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节约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，严格控制费用支出。决算数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较上年增加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的主要原因是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2023年支付燃油费比2022年多，2023年购买了两辆执法执勤用车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其中，公务用车购置费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预算为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70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万元，支出决算为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35.47万元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，完成预算的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50.67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%；较上年增加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10.79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万元，增长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43.72%。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决算数小于预算数的主要原因是厉行勤俭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节约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，严格控制费用支出。决算数较上年增加的主要原因是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2023年购买了两辆执法执勤用车2022年购买了一辆执法执勤用车，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2023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年购置公务用车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辆。公务用车运行维护费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预算为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34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万元，支出决算为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33.95万元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，完成预算的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99.85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%；较上年增加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28.82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万元，增长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561.79%。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决算数小于预算数的主要原因是厉行勤俭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节约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，严格控制费用支出。决算数较上年增加的主要原因是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2023年支付燃油费比2022年多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公务用车运行维护费，包括车辆燃料费、维修费、过路过桥费、保险费等支出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主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要用于执法办案用车运行维护支出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。截至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2023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sz w:val="32"/>
          <w:szCs w:val="32"/>
        </w:rPr>
        <w:t>12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sz w:val="32"/>
          <w:szCs w:val="32"/>
        </w:rPr>
        <w:t>31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日，淮南市谢家集区人民法院开支财政拨款的公务用车保有量为</w:t>
      </w:r>
      <w:r>
        <w:rPr>
          <w:rFonts w:ascii="仿宋_GB2312" w:eastAsia="仿宋_GB2312" w:cs="仿宋_GB2312"/>
          <w:color w:val="000000"/>
          <w:sz w:val="32"/>
          <w:szCs w:val="32"/>
        </w:rPr>
        <w:t>1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辆。</w:t>
      </w:r>
    </w:p>
    <w:p w14:paraId="2BB7D9C2"/>
    <w:sectPr>
      <w:headerReference r:id="rId3" w:type="default"/>
      <w:footerReference r:id="rId4" w:type="default"/>
      <w:footerReference r:id="rId5" w:type="even"/>
      <w:pgSz w:w="11906" w:h="16838"/>
      <w:pgMar w:top="2155" w:right="1531" w:bottom="1588" w:left="1588" w:header="0" w:footer="1588" w:gutter="0"/>
      <w:cols w:space="720" w:num="1"/>
      <w:docGrid w:type="linesAndChars" w:linePitch="569" w:charSpace="-1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519BEC">
    <w:pPr>
      <w:pStyle w:val="3"/>
      <w:framePr w:wrap="around" w:vAnchor="text" w:hAnchor="margin" w:xAlign="right" w:y="1"/>
      <w:rPr>
        <w:rStyle w:val="7"/>
        <w:rFonts w:ascii="仿宋_GB2312"/>
        <w:sz w:val="28"/>
      </w:rPr>
    </w:pPr>
    <w:r>
      <w:rPr>
        <w:rStyle w:val="7"/>
        <w:rFonts w:ascii="仿宋_GB2312"/>
        <w:sz w:val="28"/>
      </w:rPr>
      <w:t>-</w:t>
    </w:r>
    <w:r>
      <w:rPr>
        <w:rStyle w:val="7"/>
        <w:rFonts w:ascii="仿宋_GB2312"/>
        <w:sz w:val="28"/>
        <w:szCs w:val="28"/>
      </w:rPr>
      <w:fldChar w:fldCharType="begin"/>
    </w:r>
    <w:r>
      <w:rPr>
        <w:rStyle w:val="7"/>
        <w:rFonts w:ascii="仿宋_GB2312"/>
        <w:sz w:val="28"/>
        <w:szCs w:val="28"/>
      </w:rPr>
      <w:instrText xml:space="preserve"> PAGE </w:instrText>
    </w:r>
    <w:r>
      <w:rPr>
        <w:rStyle w:val="7"/>
        <w:rFonts w:ascii="仿宋_GB2312"/>
        <w:sz w:val="28"/>
        <w:szCs w:val="28"/>
      </w:rPr>
      <w:fldChar w:fldCharType="separate"/>
    </w:r>
    <w:r>
      <w:rPr>
        <w:rStyle w:val="7"/>
        <w:rFonts w:ascii="仿宋_GB2312"/>
        <w:sz w:val="28"/>
        <w:szCs w:val="28"/>
      </w:rPr>
      <w:t>3</w:t>
    </w:r>
    <w:r>
      <w:rPr>
        <w:rStyle w:val="7"/>
        <w:rFonts w:ascii="仿宋_GB2312"/>
        <w:sz w:val="28"/>
        <w:szCs w:val="28"/>
      </w:rPr>
      <w:fldChar w:fldCharType="end"/>
    </w:r>
    <w:r>
      <w:rPr>
        <w:rStyle w:val="7"/>
        <w:rFonts w:ascii="仿宋_GB2312"/>
        <w:sz w:val="28"/>
        <w:szCs w:val="28"/>
      </w:rPr>
      <w:t>-</w:t>
    </w:r>
  </w:p>
  <w:p w14:paraId="2E0AD166">
    <w:pPr>
      <w:pStyle w:val="3"/>
      <w:ind w:right="360"/>
      <w:jc w:val="right"/>
      <w:rPr>
        <w:rFonts w:ascii="仿宋_GB2312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675D3"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 w14:paraId="3899DBAD"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AD16D8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2M2ZkYmYyZTM3NGVhYWNhZjE0NzgwMmYyODNiM2IifQ=="/>
  </w:docVars>
  <w:rsids>
    <w:rsidRoot w:val="191E3688"/>
    <w:rsid w:val="000272F2"/>
    <w:rsid w:val="00112081"/>
    <w:rsid w:val="001175C0"/>
    <w:rsid w:val="001242F6"/>
    <w:rsid w:val="002747EF"/>
    <w:rsid w:val="0028469D"/>
    <w:rsid w:val="0036534F"/>
    <w:rsid w:val="00394758"/>
    <w:rsid w:val="005424DA"/>
    <w:rsid w:val="005C1E9F"/>
    <w:rsid w:val="006966D6"/>
    <w:rsid w:val="006F7C71"/>
    <w:rsid w:val="008A3CE0"/>
    <w:rsid w:val="008D48D0"/>
    <w:rsid w:val="00973352"/>
    <w:rsid w:val="009B0CAB"/>
    <w:rsid w:val="00B128BC"/>
    <w:rsid w:val="00B22C32"/>
    <w:rsid w:val="00B70FD5"/>
    <w:rsid w:val="00DD71CF"/>
    <w:rsid w:val="00E5159F"/>
    <w:rsid w:val="00E918A1"/>
    <w:rsid w:val="00F411A9"/>
    <w:rsid w:val="00FC5FB7"/>
    <w:rsid w:val="02AE04BA"/>
    <w:rsid w:val="03FA6D38"/>
    <w:rsid w:val="05524952"/>
    <w:rsid w:val="0AEC4F01"/>
    <w:rsid w:val="0B640F3B"/>
    <w:rsid w:val="0C7C4062"/>
    <w:rsid w:val="0CB90E13"/>
    <w:rsid w:val="0D157AAF"/>
    <w:rsid w:val="0DFF6BD7"/>
    <w:rsid w:val="0E3A34DA"/>
    <w:rsid w:val="0F72549F"/>
    <w:rsid w:val="11286567"/>
    <w:rsid w:val="12042B30"/>
    <w:rsid w:val="12D20E80"/>
    <w:rsid w:val="15484D07"/>
    <w:rsid w:val="1683417D"/>
    <w:rsid w:val="16DE4297"/>
    <w:rsid w:val="18550589"/>
    <w:rsid w:val="191E3688"/>
    <w:rsid w:val="1FD44489"/>
    <w:rsid w:val="1FEE5509"/>
    <w:rsid w:val="2B283902"/>
    <w:rsid w:val="2C9E20A7"/>
    <w:rsid w:val="2E821747"/>
    <w:rsid w:val="2F603644"/>
    <w:rsid w:val="2F9B0B20"/>
    <w:rsid w:val="33DB590D"/>
    <w:rsid w:val="34D0301A"/>
    <w:rsid w:val="36361081"/>
    <w:rsid w:val="38272C55"/>
    <w:rsid w:val="39E3734B"/>
    <w:rsid w:val="3D8C22E9"/>
    <w:rsid w:val="3E5527E2"/>
    <w:rsid w:val="438E1EA4"/>
    <w:rsid w:val="44AB6CB7"/>
    <w:rsid w:val="450665E4"/>
    <w:rsid w:val="47D74267"/>
    <w:rsid w:val="4908373B"/>
    <w:rsid w:val="49DF7BC6"/>
    <w:rsid w:val="4A6F0888"/>
    <w:rsid w:val="4AF40C8C"/>
    <w:rsid w:val="4C5440D8"/>
    <w:rsid w:val="4D8E7E05"/>
    <w:rsid w:val="4DAB1AD6"/>
    <w:rsid w:val="54907090"/>
    <w:rsid w:val="54CD0EE2"/>
    <w:rsid w:val="57EA3B43"/>
    <w:rsid w:val="582836A2"/>
    <w:rsid w:val="5AAD36F8"/>
    <w:rsid w:val="5CBB59B4"/>
    <w:rsid w:val="5F5B1D0A"/>
    <w:rsid w:val="5FB46F10"/>
    <w:rsid w:val="62406FB8"/>
    <w:rsid w:val="628B71A8"/>
    <w:rsid w:val="62A74B0A"/>
    <w:rsid w:val="63155F18"/>
    <w:rsid w:val="66A01F9C"/>
    <w:rsid w:val="68F31573"/>
    <w:rsid w:val="697A2F79"/>
    <w:rsid w:val="6A634CC0"/>
    <w:rsid w:val="725400DF"/>
    <w:rsid w:val="74904DAE"/>
    <w:rsid w:val="74FA4F6E"/>
    <w:rsid w:val="758F49E0"/>
    <w:rsid w:val="777F79AC"/>
    <w:rsid w:val="7D821FA4"/>
    <w:rsid w:val="7E7A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99"/>
    <w:pPr>
      <w:jc w:val="center"/>
    </w:pPr>
    <w:rPr>
      <w:rFonts w:eastAsia="黑体"/>
      <w:sz w:val="36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character" w:customStyle="1" w:styleId="8">
    <w:name w:val="正文文本 Char"/>
    <w:basedOn w:val="6"/>
    <w:link w:val="2"/>
    <w:semiHidden/>
    <w:qFormat/>
    <w:uiPriority w:val="99"/>
    <w:rPr>
      <w:rFonts w:ascii="Times New Roman" w:hAnsi="Times New Roman" w:eastAsia="仿宋_GB2312"/>
      <w:sz w:val="32"/>
      <w:szCs w:val="20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仿宋_GB2312"/>
      <w:sz w:val="18"/>
      <w:szCs w:val="18"/>
    </w:rPr>
  </w:style>
  <w:style w:type="paragraph" w:customStyle="1" w:styleId="10">
    <w:name w:val="p0"/>
    <w:basedOn w:val="1"/>
    <w:qFormat/>
    <w:uiPriority w:val="99"/>
    <w:rPr>
      <w:rFonts w:ascii="Calibri" w:hAnsi="Calibri" w:eastAsia="宋体"/>
      <w:kern w:val="0"/>
      <w:sz w:val="21"/>
      <w:szCs w:val="21"/>
    </w:rPr>
  </w:style>
  <w:style w:type="character" w:customStyle="1" w:styleId="11">
    <w:name w:val="页眉 Char"/>
    <w:basedOn w:val="6"/>
    <w:link w:val="4"/>
    <w:semiHidden/>
    <w:qFormat/>
    <w:uiPriority w:val="99"/>
    <w:rPr>
      <w:rFonts w:ascii="Times New Roman" w:hAnsi="Times New Roman"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599</Words>
  <Characters>710</Characters>
  <Lines>8</Lines>
  <Paragraphs>2</Paragraphs>
  <TotalTime>5</TotalTime>
  <ScaleCrop>false</ScaleCrop>
  <LinksUpToDate>false</LinksUpToDate>
  <CharactersWithSpaces>790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2021-08-06T03:03:00Z</dcterms:created>
  <dc:creator>山</dc:creator>
  <cp:lastModifiedBy>abcd</cp:lastModifiedBy>
  <dcterms:modified xsi:type="dcterms:W3CDTF">2024-10-25T09:16:41Z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47F36262D4064568A85CBF10712960DD_13</vt:lpwstr>
  </property>
</Properties>
</file>