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5F24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60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20</w:t>
      </w: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5</w:t>
      </w: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年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第一季度</w:t>
      </w: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蔡家岗街道工作报告主要任务分解表</w:t>
      </w:r>
    </w:p>
    <w:p w14:paraId="7986CA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400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楷体_GB2312" w:hAnsi="宋体" w:eastAsia="楷体_GB2312" w:cs="楷体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总负责人：</w:t>
      </w:r>
      <w:r>
        <w:rPr>
          <w:rFonts w:hint="eastAsia" w:ascii="楷体_GB2312" w:hAnsi="宋体" w:eastAsia="楷体_GB2312" w:cs="楷体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王足辉</w:t>
      </w:r>
    </w:p>
    <w:tbl>
      <w:tblPr>
        <w:tblStyle w:val="2"/>
        <w:tblW w:w="1417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78"/>
        <w:gridCol w:w="5022"/>
        <w:gridCol w:w="988"/>
        <w:gridCol w:w="2141"/>
        <w:gridCol w:w="2554"/>
        <w:gridCol w:w="1331"/>
        <w:gridCol w:w="1656"/>
      </w:tblGrid>
      <w:tr w14:paraId="775BAFD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4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624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50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359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主要任务</w:t>
            </w:r>
          </w:p>
        </w:tc>
        <w:tc>
          <w:tcPr>
            <w:tcW w:w="9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586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牵头</w:t>
            </w:r>
          </w:p>
          <w:p w14:paraId="0EB8DF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领导</w:t>
            </w:r>
          </w:p>
        </w:tc>
        <w:tc>
          <w:tcPr>
            <w:tcW w:w="21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528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牵头单位</w:t>
            </w:r>
          </w:p>
        </w:tc>
        <w:tc>
          <w:tcPr>
            <w:tcW w:w="25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A30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协同单位</w:t>
            </w:r>
          </w:p>
        </w:tc>
        <w:tc>
          <w:tcPr>
            <w:tcW w:w="13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B76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default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第一季度完成情况</w:t>
            </w:r>
          </w:p>
        </w:tc>
        <w:tc>
          <w:tcPr>
            <w:tcW w:w="16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C8E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监督渠道</w:t>
            </w:r>
          </w:p>
        </w:tc>
      </w:tr>
      <w:tr w14:paraId="6D8C960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11183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0D3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 w:bidi="ar"/>
              </w:rPr>
              <w:t xml:space="preserve">            一、全面加强政府自身建设</w:t>
            </w:r>
          </w:p>
        </w:tc>
        <w:tc>
          <w:tcPr>
            <w:tcW w:w="13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EA9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6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A7F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0230AB9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6B8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0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D83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坚持和加强党的全面领导，始终把政治建设摆在首位，增强“四个意识”、坚定“四个自信”、做到“两个维护”。</w:t>
            </w:r>
          </w:p>
        </w:tc>
        <w:tc>
          <w:tcPr>
            <w:tcW w:w="9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39B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王足辉</w:t>
            </w:r>
          </w:p>
        </w:tc>
        <w:tc>
          <w:tcPr>
            <w:tcW w:w="21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7F1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党政办</w:t>
            </w: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、党建办</w:t>
            </w:r>
            <w:bookmarkStart w:id="0" w:name="_GoBack"/>
            <w:bookmarkEnd w:id="0"/>
          </w:p>
        </w:tc>
        <w:tc>
          <w:tcPr>
            <w:tcW w:w="25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824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both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13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52C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  <w:tc>
          <w:tcPr>
            <w:tcW w:w="16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D19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070A6B0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923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50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C09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贯彻落实习近平法治思想，熟练运用法治思维和法治方式深化改革、化解矛盾、应对风险。深化政府学法活动，做好行政复议、行政应诉等工作，增强行政执法效能。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94D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王足辉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F7E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党政办、党建办</w:t>
            </w:r>
          </w:p>
        </w:tc>
        <w:tc>
          <w:tcPr>
            <w:tcW w:w="2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F7E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CE2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4F7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2C5B5B3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4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733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50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5B8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坚持以人民为中心的发展思想，多问计于民、问需于民、问效于民。巩固深化“不忘初心、牢记使命”主题教育成果，持续推进“我为群众办实事”活动，充分发挥“12345”市长热线等作用，解决好群众身边的操心事、烦心事、揪心事，用干部的“辛苦指数”换得群众的“满意指数”。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AD1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王足辉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0FB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党政办、党建办</w:t>
            </w:r>
          </w:p>
        </w:tc>
        <w:tc>
          <w:tcPr>
            <w:tcW w:w="2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FFC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CBA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长期坚持，市长热线保证7天内全部处理完成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B71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4E092AF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4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A33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50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608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认真履行全面从严治党主体责任和“一岗双责”，加强重点领域、关键环节监管，常态化开展党内政治监督谈话。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F11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王足辉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C2E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党政办、党建办</w:t>
            </w:r>
          </w:p>
        </w:tc>
        <w:tc>
          <w:tcPr>
            <w:tcW w:w="2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E68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4B2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A0D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16BECB3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4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69B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50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405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严格落实中央八项规定精神及省市区实施细则，锲而不舍纠治“四风”，力戒形式主义官僚主义，持续为基层减负松绑。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C62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王足辉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9AA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党政办、党建办</w:t>
            </w:r>
          </w:p>
        </w:tc>
        <w:tc>
          <w:tcPr>
            <w:tcW w:w="2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BC2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685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DBD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58D6502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  <w:jc w:val="center"/>
        </w:trPr>
        <w:tc>
          <w:tcPr>
            <w:tcW w:w="4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AB7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50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C5A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坚持过紧日子思想，从严控制“三公”经费。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395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王足辉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5D7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街道财务室</w:t>
            </w:r>
          </w:p>
        </w:tc>
        <w:tc>
          <w:tcPr>
            <w:tcW w:w="2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F2B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街道财务室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D30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558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6418666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4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DBB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50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B9F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全力支持纪检监察机关履行职责，一体推进不敢腐、不能腐、不想腐，让清正廉洁成为政府的鲜明底色。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815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王足辉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171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党政办、党建办</w:t>
            </w:r>
          </w:p>
        </w:tc>
        <w:tc>
          <w:tcPr>
            <w:tcW w:w="2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CC5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6FB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3D2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571AF93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14170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C56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eastAsia" w:ascii="黑体" w:hAnsi="宋体" w:eastAsia="黑体" w:cs="黑体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 xml:space="preserve"> 二、筑牢发展根基，奋力提质扩量增效</w:t>
            </w:r>
          </w:p>
        </w:tc>
      </w:tr>
      <w:tr w14:paraId="057093A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367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50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76A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推进“互联网+政务服务”改革延伸扩面，加快实现“跨省通办”，深入开展“四送一服”，着力打造优质营商环境。</w:t>
            </w:r>
          </w:p>
        </w:tc>
        <w:tc>
          <w:tcPr>
            <w:tcW w:w="9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B37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曹晶</w:t>
            </w:r>
          </w:p>
        </w:tc>
        <w:tc>
          <w:tcPr>
            <w:tcW w:w="21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739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</w:t>
            </w: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统计办</w:t>
            </w:r>
          </w:p>
        </w:tc>
        <w:tc>
          <w:tcPr>
            <w:tcW w:w="25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546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街道统计办</w:t>
            </w:r>
          </w:p>
        </w:tc>
        <w:tc>
          <w:tcPr>
            <w:tcW w:w="13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BAE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每月帮助辖区企业解决难题</w:t>
            </w:r>
          </w:p>
        </w:tc>
        <w:tc>
          <w:tcPr>
            <w:tcW w:w="16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DE4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1B2D43B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  <w:jc w:val="center"/>
        </w:trPr>
        <w:tc>
          <w:tcPr>
            <w:tcW w:w="4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370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50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89E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完善招商引资考核激励办法，拿出真金白银重奖“有功之士”。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297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曹晶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F82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</w:t>
            </w: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统计办</w:t>
            </w:r>
          </w:p>
        </w:tc>
        <w:tc>
          <w:tcPr>
            <w:tcW w:w="2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585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</w:t>
            </w: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统计办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270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D53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5D4217A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0" w:hRule="atLeast"/>
          <w:jc w:val="center"/>
        </w:trPr>
        <w:tc>
          <w:tcPr>
            <w:tcW w:w="4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F28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50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325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积极对接长三角等地区产业集群，充分发挥驻点招商组“桥头堡”作用，灵活运用平台招商、专业机构招商、行业商会协会招商等方式，做好项目信息收集和招商推介，实现招商项目数量、体量、质量的新突破。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205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曹晶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A26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</w:t>
            </w: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统计办</w:t>
            </w:r>
          </w:p>
        </w:tc>
        <w:tc>
          <w:tcPr>
            <w:tcW w:w="2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3C8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街道统计办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F90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75A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3FF41DF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170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584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 w:bidi="ar"/>
              </w:rPr>
              <w:t>三、</w:t>
            </w:r>
            <w:r>
              <w:rPr>
                <w:rFonts w:hint="eastAsia" w:ascii="黑体" w:hAnsi="宋体" w:eastAsia="黑体" w:cs="黑体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厚植生态底色，着力营造绿色环境</w:t>
            </w:r>
          </w:p>
        </w:tc>
      </w:tr>
      <w:tr w14:paraId="6F8D02F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4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C8A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50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EE4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推行生态环境保护专项监督长制，进一步完善网格化监管体系。</w:t>
            </w:r>
          </w:p>
        </w:tc>
        <w:tc>
          <w:tcPr>
            <w:tcW w:w="9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5B3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赵志成</w:t>
            </w:r>
          </w:p>
        </w:tc>
        <w:tc>
          <w:tcPr>
            <w:tcW w:w="21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A9B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街道环保所</w:t>
            </w:r>
          </w:p>
        </w:tc>
        <w:tc>
          <w:tcPr>
            <w:tcW w:w="25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C9A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街道环保所</w:t>
            </w:r>
          </w:p>
        </w:tc>
        <w:tc>
          <w:tcPr>
            <w:tcW w:w="13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169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  <w:tc>
          <w:tcPr>
            <w:tcW w:w="16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1D9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7E53D39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4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523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50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6F2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实施大气污染专项整治升级版，做好秸秆禁烧、餐饮油烟治理、道路扬尘防控等工作。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EF0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赵志成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3FE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街道环保所</w:t>
            </w:r>
          </w:p>
        </w:tc>
        <w:tc>
          <w:tcPr>
            <w:tcW w:w="2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2FD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街道环保所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6C4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E6C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2CE7E6A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4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3BD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50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072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加强饮用水水源地排查整治，巩固入河排污口治理成效，保障水生态安全。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3FA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赵志成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E40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街道环保所</w:t>
            </w:r>
          </w:p>
        </w:tc>
        <w:tc>
          <w:tcPr>
            <w:tcW w:w="2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B58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街道环保所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652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已完成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197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1C8733D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0D4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50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9D9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强化危险废弃物、医疗废弃物收集处理监管，加大白色污染治理力度，推进化肥农药减量化，严格防控土地污染。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678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赵志成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3B2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街道环保所</w:t>
            </w:r>
          </w:p>
          <w:p w14:paraId="0F490B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330" w:lineRule="atLeast"/>
              <w:ind w:left="0" w:right="0"/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Calibri" w:eastAsia="仿宋_GB2312" w:cs="仿宋_GB2312"/>
                <w:kern w:val="2"/>
                <w:sz w:val="24"/>
                <w:szCs w:val="24"/>
                <w:lang w:val="en-US" w:eastAsia="zh-CN" w:bidi="ar-SA"/>
              </w:rPr>
              <w:t>街道卫健办</w:t>
            </w:r>
          </w:p>
        </w:tc>
        <w:tc>
          <w:tcPr>
            <w:tcW w:w="2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B20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both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街道环保所</w:t>
            </w:r>
          </w:p>
          <w:p w14:paraId="26CFE3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街道卫健办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E32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DCF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315A00A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028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50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49B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探索采煤沉陷区综合治理新模式，扎实推进群众搬迁安置、耕地保护和复垦、就业培训和社会保障等。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2EB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赵志成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AC7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街道环保所</w:t>
            </w:r>
          </w:p>
          <w:p w14:paraId="46167E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A28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AFE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441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38ECA91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5" w:hRule="atLeast"/>
          <w:jc w:val="center"/>
        </w:trPr>
        <w:tc>
          <w:tcPr>
            <w:tcW w:w="4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E6A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50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8FE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倡导绿色生活方式，厉行勤俭节约，开展节约型机关、绿色家庭、绿色学校、绿色社区创建活动，推进生活垃圾收运系统与再生资源回收系统“两网融合”。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173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赵志成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548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街道环保所</w:t>
            </w:r>
          </w:p>
          <w:p w14:paraId="43AC10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街道党政办</w:t>
            </w:r>
          </w:p>
        </w:tc>
        <w:tc>
          <w:tcPr>
            <w:tcW w:w="2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D6D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1C1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8D6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21CDC2C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14170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7AF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 w:bidi="ar"/>
              </w:rPr>
              <w:t>四、</w:t>
            </w:r>
            <w:r>
              <w:rPr>
                <w:rFonts w:hint="eastAsia" w:ascii="黑体" w:hAnsi="宋体" w:eastAsia="黑体" w:cs="黑体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聚焦社会事业，持续增强民生福祉</w:t>
            </w:r>
          </w:p>
        </w:tc>
      </w:tr>
      <w:tr w14:paraId="54D2853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4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7CB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50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E95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健全城乡社保转移接续、基本养老、基本医疗保险筹资和待遇调整机制，加大灾害、医疗、教育等专项救助力度，统筹社会福利、慈善事业发展，强化未成年人保护和困难妇女、残疾人等社会弱势群体关爱。</w:t>
            </w:r>
          </w:p>
          <w:p w14:paraId="4F59DF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BC7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徐凯伦</w:t>
            </w:r>
          </w:p>
        </w:tc>
        <w:tc>
          <w:tcPr>
            <w:tcW w:w="21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7AC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街道社保所</w:t>
            </w:r>
          </w:p>
          <w:p w14:paraId="7E8342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街道卫健办</w:t>
            </w:r>
          </w:p>
        </w:tc>
        <w:tc>
          <w:tcPr>
            <w:tcW w:w="25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FBA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街道社保所</w:t>
            </w:r>
          </w:p>
          <w:p w14:paraId="4313E0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街道卫健办</w:t>
            </w:r>
          </w:p>
        </w:tc>
        <w:tc>
          <w:tcPr>
            <w:tcW w:w="13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538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  <w:tc>
          <w:tcPr>
            <w:tcW w:w="16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DE0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1A21906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4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266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50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643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全面</w:t>
            </w: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为</w:t>
            </w: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启动“八五”普法</w:t>
            </w: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作准备</w:t>
            </w: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，提升法治谢家集建设水平，争创省级法治政府示范区。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BB8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陈炜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049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街道司法所</w:t>
            </w:r>
          </w:p>
        </w:tc>
        <w:tc>
          <w:tcPr>
            <w:tcW w:w="2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2F8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BB0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A56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69D6C22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4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69F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50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75A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加强食品药品安全监管，争创省级质量示范区。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086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Calibri" w:hAnsi="Calibri" w:eastAsia="宋体" w:cs="Times New Roman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罗玮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E1B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街道安监办</w:t>
            </w:r>
          </w:p>
        </w:tc>
        <w:tc>
          <w:tcPr>
            <w:tcW w:w="2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8CA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31F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FD1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47A0A4A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4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9AC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50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56F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深化“铸安”行动和安全生产专项整治三年行动。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513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罗玮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B7F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街道安监办</w:t>
            </w:r>
          </w:p>
        </w:tc>
        <w:tc>
          <w:tcPr>
            <w:tcW w:w="2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95C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44E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3E8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787BC2E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4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603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50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DE9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健全多元化矛盾纠纷化解机制，落实接访下访、包案化解、阅批群众来信等制度，依法及时解决群众合理诉求。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48F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Calibri" w:hAnsi="Calibri" w:eastAsia="宋体" w:cs="Times New Roman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张妙妙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5AB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街道信访办</w:t>
            </w:r>
          </w:p>
        </w:tc>
        <w:tc>
          <w:tcPr>
            <w:tcW w:w="2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616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街道信访办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DC6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661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</w:tbl>
    <w:p w14:paraId="427CA02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2A1638"/>
    <w:rsid w:val="3E2A16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2025-04-27T06:55:00Z</dcterms:created>
  <dc:creator>肥坨坨儿</dc:creator>
  <cp:lastModifiedBy>肥坨坨儿</cp:lastModifiedBy>
  <dcterms:modified xsi:type="dcterms:W3CDTF">2025-04-27T07:05:01Z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EEE0E2F157F34397A6984D603724CC60_11</vt:lpwstr>
  </property>
  <property fmtid="{D5CDD505-2E9C-101B-9397-08002B2CF9AE}" pid="4" name="KSOTemplateDocerSaveRecord">
    <vt:lpwstr>eyJoZGlkIjoiYmQ3MTM3OTA2MjJiMDg3YmViMjk4ODAyM2RiMTVjYmMiLCJ1c2VySWQiOiI0NTUwNjE5NDYifQ==</vt:lpwstr>
  </property>
</Properties>
</file>