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1297E70">
      <w:pPr>
        <w:keepNext w:val="0"/>
        <w:keepLines w:val="0"/>
        <w:pageBreakBefore w:val="0"/>
        <w:widowControl w:val="0"/>
        <w:wordWrap/>
        <w:overflowPunct/>
        <w:topLinePunct w:val="0"/>
        <w:bidi w:val="0"/>
        <w:spacing w:line="600" w:lineRule="exact"/>
        <w:ind w:firstLine="883" w:firstLineChars="200"/>
        <w:jc w:val="center"/>
        <w:rPr>
          <w:rFonts w:hint="eastAsia" w:ascii="方正小标宋简体" w:hAnsi="方正小标宋简体" w:eastAsia="方正小标宋简体" w:cs="方正小标宋简体"/>
          <w:b/>
          <w:bCs/>
          <w:kern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kern w:val="0"/>
          <w:sz w:val="44"/>
          <w:szCs w:val="44"/>
          <w:lang w:val="en-US" w:eastAsia="zh-CN"/>
        </w:rPr>
        <w:t>谢家集区医疗保障局</w:t>
      </w:r>
      <w:r>
        <w:rPr>
          <w:rFonts w:hint="eastAsia" w:ascii="方正小标宋简体" w:hAnsi="方正小标宋简体" w:eastAsia="方正小标宋简体" w:cs="方正小标宋简体"/>
          <w:b/>
          <w:bCs/>
          <w:kern w:val="0"/>
          <w:sz w:val="44"/>
          <w:szCs w:val="44"/>
        </w:rPr>
        <w:t>主要职责</w:t>
      </w:r>
    </w:p>
    <w:p w14:paraId="76FE9EF4">
      <w:pPr>
        <w:keepNext w:val="0"/>
        <w:keepLines w:val="0"/>
        <w:pageBreakBefore w:val="0"/>
        <w:widowControl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241" w:line="600" w:lineRule="exact"/>
        <w:ind w:right="44" w:firstLine="688" w:firstLineChars="200"/>
        <w:jc w:val="both"/>
        <w:textAlignment w:val="baseline"/>
        <w:rPr>
          <w:rFonts w:hint="eastAsia" w:ascii="仿宋_GB2312" w:hAnsi="仿宋_GB2312" w:eastAsia="仿宋_GB2312" w:cs="仿宋_GB2312"/>
          <w:snapToGrid w:val="0"/>
          <w:color w:val="000000"/>
          <w:kern w:val="0"/>
          <w:sz w:val="32"/>
          <w:szCs w:val="32"/>
          <w:lang w:eastAsia="en-US"/>
        </w:rPr>
      </w:pPr>
      <w:r>
        <w:rPr>
          <w:rFonts w:hint="eastAsia" w:ascii="仿宋_GB2312" w:hAnsi="仿宋_GB2312" w:eastAsia="仿宋_GB2312" w:cs="仿宋_GB2312"/>
          <w:snapToGrid w:val="0"/>
          <w:color w:val="000000"/>
          <w:spacing w:val="12"/>
          <w:kern w:val="0"/>
          <w:sz w:val="32"/>
          <w:szCs w:val="32"/>
          <w:lang w:eastAsia="en-US"/>
        </w:rPr>
        <w:t>区医疗保障局贯彻执行党中央关于医</w:t>
      </w:r>
      <w:r>
        <w:rPr>
          <w:rFonts w:hint="eastAsia" w:ascii="仿宋_GB2312" w:hAnsi="仿宋_GB2312" w:eastAsia="仿宋_GB2312" w:cs="仿宋_GB2312"/>
          <w:snapToGrid w:val="0"/>
          <w:color w:val="000000"/>
          <w:spacing w:val="11"/>
          <w:kern w:val="0"/>
          <w:sz w:val="32"/>
          <w:szCs w:val="32"/>
          <w:lang w:eastAsia="en-US"/>
        </w:rPr>
        <w:t>疗保障工作</w:t>
      </w:r>
      <w:r>
        <w:rPr>
          <w:rFonts w:hint="eastAsia" w:ascii="仿宋_GB2312" w:hAnsi="仿宋_GB2312" w:eastAsia="仿宋_GB2312" w:cs="仿宋_GB2312"/>
          <w:snapToGrid w:val="0"/>
          <w:color w:val="000000"/>
          <w:spacing w:val="9"/>
          <w:kern w:val="0"/>
          <w:sz w:val="32"/>
          <w:szCs w:val="32"/>
          <w:lang w:eastAsia="en-US"/>
        </w:rPr>
        <w:t>的方针政策和决策部署，落实省委</w:t>
      </w:r>
      <w:r>
        <w:rPr>
          <w:rFonts w:hint="eastAsia" w:ascii="仿宋_GB2312" w:hAnsi="仿宋_GB2312" w:eastAsia="仿宋_GB2312" w:cs="仿宋_GB2312"/>
          <w:snapToGrid w:val="0"/>
          <w:color w:val="000000"/>
          <w:spacing w:val="9"/>
          <w:kern w:val="0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napToGrid w:val="0"/>
          <w:color w:val="000000"/>
          <w:spacing w:val="9"/>
          <w:kern w:val="0"/>
          <w:sz w:val="32"/>
          <w:szCs w:val="32"/>
          <w:lang w:eastAsia="en-US"/>
        </w:rPr>
        <w:t>市委、区委的工作要求，</w:t>
      </w:r>
      <w:r>
        <w:rPr>
          <w:rFonts w:hint="eastAsia" w:ascii="仿宋_GB2312" w:hAnsi="仿宋_GB2312" w:eastAsia="仿宋_GB2312" w:cs="仿宋_GB2312"/>
          <w:snapToGrid w:val="0"/>
          <w:color w:val="000000"/>
          <w:spacing w:val="12"/>
          <w:kern w:val="0"/>
          <w:sz w:val="32"/>
          <w:szCs w:val="32"/>
          <w:lang w:eastAsia="en-US"/>
        </w:rPr>
        <w:t>在履行职责过程中坚持和加强党对医疗保障工作的集中统一领</w:t>
      </w:r>
      <w:r>
        <w:rPr>
          <w:rFonts w:hint="eastAsia" w:ascii="仿宋_GB2312" w:hAnsi="仿宋_GB2312" w:eastAsia="仿宋_GB2312" w:cs="仿宋_GB2312"/>
          <w:snapToGrid w:val="0"/>
          <w:color w:val="000000"/>
          <w:spacing w:val="-5"/>
          <w:kern w:val="0"/>
          <w:sz w:val="32"/>
          <w:szCs w:val="32"/>
          <w:lang w:eastAsia="en-US"/>
        </w:rPr>
        <w:t>导。主要职责是：</w:t>
      </w:r>
    </w:p>
    <w:p w14:paraId="554985FE">
      <w:pPr>
        <w:keepNext w:val="0"/>
        <w:keepLines w:val="0"/>
        <w:pageBreakBefore w:val="0"/>
        <w:widowControl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241" w:line="600" w:lineRule="exact"/>
        <w:ind w:left="195" w:right="100" w:firstLine="708" w:firstLineChars="200"/>
        <w:jc w:val="both"/>
        <w:textAlignment w:val="baseline"/>
        <w:rPr>
          <w:rFonts w:hint="eastAsia" w:ascii="仿宋_GB2312" w:hAnsi="仿宋_GB2312" w:eastAsia="仿宋_GB2312" w:cs="仿宋_GB2312"/>
          <w:snapToGrid w:val="0"/>
          <w:color w:val="000000"/>
          <w:kern w:val="0"/>
          <w:sz w:val="32"/>
          <w:szCs w:val="32"/>
          <w:lang w:eastAsia="en-US"/>
        </w:rPr>
      </w:pPr>
      <w:r>
        <w:rPr>
          <w:rFonts w:hint="eastAsia" w:ascii="仿宋_GB2312" w:hAnsi="仿宋_GB2312" w:eastAsia="仿宋_GB2312" w:cs="仿宋_GB2312"/>
          <w:snapToGrid w:val="0"/>
          <w:color w:val="000000"/>
          <w:spacing w:val="17"/>
          <w:kern w:val="0"/>
          <w:sz w:val="32"/>
          <w:szCs w:val="32"/>
          <w:lang w:eastAsia="en-US"/>
        </w:rPr>
        <w:t>(一)贯彻执行国家和省、市关于医疗保险、生育保险、</w:t>
      </w:r>
      <w:r>
        <w:rPr>
          <w:rFonts w:hint="eastAsia" w:ascii="仿宋_GB2312" w:hAnsi="仿宋_GB2312" w:eastAsia="仿宋_GB2312" w:cs="仿宋_GB2312"/>
          <w:snapToGrid w:val="0"/>
          <w:color w:val="000000"/>
          <w:spacing w:val="4"/>
          <w:kern w:val="0"/>
          <w:sz w:val="32"/>
          <w:szCs w:val="32"/>
          <w:lang w:eastAsia="en-US"/>
        </w:rPr>
        <w:t xml:space="preserve"> </w:t>
      </w:r>
      <w:r>
        <w:rPr>
          <w:rFonts w:hint="eastAsia" w:ascii="仿宋_GB2312" w:hAnsi="仿宋_GB2312" w:eastAsia="仿宋_GB2312" w:cs="仿宋_GB2312"/>
          <w:snapToGrid w:val="0"/>
          <w:color w:val="000000"/>
          <w:spacing w:val="5"/>
          <w:kern w:val="0"/>
          <w:sz w:val="32"/>
          <w:szCs w:val="32"/>
          <w:lang w:eastAsia="en-US"/>
        </w:rPr>
        <w:t>医疗救助等医疗保障法律法规规章、政策、规划和标准。</w:t>
      </w:r>
    </w:p>
    <w:p w14:paraId="6AC050CF">
      <w:pPr>
        <w:keepNext w:val="0"/>
        <w:keepLines w:val="0"/>
        <w:pageBreakBefore w:val="0"/>
        <w:widowControl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232" w:line="600" w:lineRule="exact"/>
        <w:ind w:left="193" w:right="28" w:firstLine="720" w:firstLineChars="200"/>
        <w:jc w:val="both"/>
        <w:textAlignment w:val="baseline"/>
        <w:rPr>
          <w:rFonts w:hint="eastAsia" w:ascii="仿宋_GB2312" w:hAnsi="仿宋_GB2312" w:eastAsia="仿宋_GB2312" w:cs="仿宋_GB2312"/>
          <w:snapToGrid w:val="0"/>
          <w:color w:val="000000"/>
          <w:kern w:val="0"/>
          <w:sz w:val="32"/>
          <w:szCs w:val="32"/>
          <w:lang w:eastAsia="en-US"/>
        </w:rPr>
      </w:pPr>
      <w:r>
        <w:rPr>
          <w:rFonts w:hint="eastAsia" w:ascii="仿宋_GB2312" w:hAnsi="仿宋_GB2312" w:eastAsia="仿宋_GB2312" w:cs="仿宋_GB2312"/>
          <w:snapToGrid w:val="0"/>
          <w:color w:val="000000"/>
          <w:spacing w:val="20"/>
          <w:kern w:val="0"/>
          <w:sz w:val="32"/>
          <w:szCs w:val="32"/>
          <w:lang w:eastAsia="en-US"/>
        </w:rPr>
        <w:t>(二)贯彻落实全省城乡统一的药品、医用耗材、医</w:t>
      </w:r>
      <w:r>
        <w:rPr>
          <w:rFonts w:hint="eastAsia" w:ascii="仿宋_GB2312" w:hAnsi="仿宋_GB2312" w:eastAsia="仿宋_GB2312" w:cs="仿宋_GB2312"/>
          <w:snapToGrid w:val="0"/>
          <w:color w:val="000000"/>
          <w:spacing w:val="19"/>
          <w:kern w:val="0"/>
          <w:sz w:val="32"/>
          <w:szCs w:val="32"/>
          <w:lang w:eastAsia="en-US"/>
        </w:rPr>
        <w:t>疗服</w:t>
      </w:r>
      <w:r>
        <w:rPr>
          <w:rFonts w:hint="eastAsia" w:ascii="仿宋_GB2312" w:hAnsi="仿宋_GB2312" w:eastAsia="仿宋_GB2312" w:cs="仿宋_GB2312"/>
          <w:snapToGrid w:val="0"/>
          <w:color w:val="000000"/>
          <w:kern w:val="0"/>
          <w:sz w:val="32"/>
          <w:szCs w:val="32"/>
          <w:lang w:eastAsia="en-US"/>
        </w:rPr>
        <w:t xml:space="preserve"> </w:t>
      </w:r>
      <w:r>
        <w:rPr>
          <w:rFonts w:hint="eastAsia" w:ascii="仿宋_GB2312" w:hAnsi="仿宋_GB2312" w:eastAsia="仿宋_GB2312" w:cs="仿宋_GB2312"/>
          <w:snapToGrid w:val="0"/>
          <w:color w:val="000000"/>
          <w:spacing w:val="11"/>
          <w:kern w:val="0"/>
          <w:sz w:val="32"/>
          <w:szCs w:val="32"/>
          <w:lang w:eastAsia="en-US"/>
        </w:rPr>
        <w:t>务项目、医疗服务设施等医保目录和支付标准，配合做好医保</w:t>
      </w:r>
      <w:r>
        <w:rPr>
          <w:rFonts w:hint="eastAsia" w:ascii="仿宋_GB2312" w:hAnsi="仿宋_GB2312" w:eastAsia="仿宋_GB2312" w:cs="仿宋_GB2312"/>
          <w:snapToGrid w:val="0"/>
          <w:color w:val="000000"/>
          <w:spacing w:val="5"/>
          <w:kern w:val="0"/>
          <w:sz w:val="32"/>
          <w:szCs w:val="32"/>
          <w:lang w:eastAsia="en-US"/>
        </w:rPr>
        <w:t xml:space="preserve"> </w:t>
      </w:r>
      <w:r>
        <w:rPr>
          <w:rFonts w:hint="eastAsia" w:ascii="仿宋_GB2312" w:hAnsi="仿宋_GB2312" w:eastAsia="仿宋_GB2312" w:cs="仿宋_GB2312"/>
          <w:snapToGrid w:val="0"/>
          <w:color w:val="000000"/>
          <w:spacing w:val="-3"/>
          <w:kern w:val="0"/>
          <w:sz w:val="32"/>
          <w:szCs w:val="32"/>
          <w:lang w:eastAsia="en-US"/>
        </w:rPr>
        <w:t>目录准入相关工作。</w:t>
      </w:r>
    </w:p>
    <w:p w14:paraId="2B3F8F0D">
      <w:pPr>
        <w:keepNext w:val="0"/>
        <w:keepLines w:val="0"/>
        <w:pageBreakBefore w:val="0"/>
        <w:widowControl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97" w:line="600" w:lineRule="exact"/>
        <w:ind w:right="159" w:firstLine="716" w:firstLineChars="200"/>
        <w:jc w:val="both"/>
        <w:textAlignment w:val="baseline"/>
        <w:rPr>
          <w:rFonts w:hint="eastAsia" w:ascii="仿宋_GB2312" w:hAnsi="仿宋_GB2312" w:eastAsia="仿宋_GB2312" w:cs="仿宋_GB2312"/>
          <w:snapToGrid w:val="0"/>
          <w:color w:val="000000"/>
          <w:spacing w:val="6"/>
          <w:kern w:val="0"/>
          <w:sz w:val="32"/>
          <w:szCs w:val="32"/>
          <w:lang w:eastAsia="en-US"/>
        </w:rPr>
      </w:pPr>
      <w:r>
        <w:rPr>
          <w:rFonts w:hint="eastAsia" w:ascii="仿宋_GB2312" w:hAnsi="仿宋_GB2312" w:eastAsia="仿宋_GB2312" w:cs="仿宋_GB2312"/>
          <w:snapToGrid w:val="0"/>
          <w:color w:val="000000"/>
          <w:spacing w:val="19"/>
          <w:kern w:val="0"/>
          <w:sz w:val="32"/>
          <w:szCs w:val="32"/>
          <w:lang w:eastAsia="en-US"/>
        </w:rPr>
        <w:t>(三)贯彻落实医疗保障基金管理办法，建立健全医疗保</w:t>
      </w:r>
      <w:r>
        <w:rPr>
          <w:rFonts w:hint="eastAsia" w:ascii="仿宋_GB2312" w:hAnsi="仿宋_GB2312" w:eastAsia="仿宋_GB2312" w:cs="仿宋_GB2312"/>
          <w:snapToGrid w:val="0"/>
          <w:color w:val="000000"/>
          <w:spacing w:val="7"/>
          <w:kern w:val="0"/>
          <w:sz w:val="32"/>
          <w:szCs w:val="32"/>
          <w:lang w:eastAsia="en-US"/>
        </w:rPr>
        <w:t xml:space="preserve"> </w:t>
      </w:r>
      <w:r>
        <w:rPr>
          <w:rFonts w:hint="eastAsia" w:ascii="仿宋_GB2312" w:hAnsi="仿宋_GB2312" w:eastAsia="仿宋_GB2312" w:cs="仿宋_GB2312"/>
          <w:snapToGrid w:val="0"/>
          <w:color w:val="000000"/>
          <w:spacing w:val="6"/>
          <w:kern w:val="0"/>
          <w:sz w:val="32"/>
          <w:szCs w:val="32"/>
          <w:lang w:eastAsia="en-US"/>
        </w:rPr>
        <w:t>障基金安全防控机制，推进医疗保障基金支付方式改革。</w:t>
      </w:r>
    </w:p>
    <w:p w14:paraId="1C70BDBA">
      <w:pPr>
        <w:keepNext w:val="0"/>
        <w:keepLines w:val="0"/>
        <w:pageBreakBefore w:val="0"/>
        <w:widowControl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97" w:line="600" w:lineRule="exact"/>
        <w:ind w:right="159" w:firstLine="720" w:firstLineChars="200"/>
        <w:jc w:val="both"/>
        <w:textAlignment w:val="baseline"/>
        <w:rPr>
          <w:rFonts w:hint="eastAsia" w:ascii="仿宋_GB2312" w:hAnsi="仿宋_GB2312" w:eastAsia="仿宋_GB2312" w:cs="仿宋_GB2312"/>
          <w:snapToGrid w:val="0"/>
          <w:color w:val="000000"/>
          <w:spacing w:val="2"/>
          <w:kern w:val="0"/>
          <w:sz w:val="32"/>
          <w:szCs w:val="32"/>
          <w:lang w:eastAsia="en-US"/>
        </w:rPr>
      </w:pPr>
      <w:r>
        <w:rPr>
          <w:rFonts w:hint="eastAsia" w:ascii="仿宋_GB2312" w:hAnsi="仿宋_GB2312" w:eastAsia="仿宋_GB2312" w:cs="仿宋_GB2312"/>
          <w:snapToGrid w:val="0"/>
          <w:color w:val="000000"/>
          <w:spacing w:val="20"/>
          <w:kern w:val="0"/>
          <w:sz w:val="32"/>
          <w:szCs w:val="32"/>
          <w:lang w:eastAsia="en-US"/>
        </w:rPr>
        <w:t>(四)贯彻落实全市医疗保障筹资和待遇政策，完善动态</w:t>
      </w:r>
      <w:r>
        <w:rPr>
          <w:rFonts w:hint="eastAsia" w:ascii="仿宋_GB2312" w:hAnsi="仿宋_GB2312" w:eastAsia="仿宋_GB2312" w:cs="仿宋_GB2312"/>
          <w:snapToGrid w:val="0"/>
          <w:color w:val="000000"/>
          <w:spacing w:val="5"/>
          <w:kern w:val="0"/>
          <w:sz w:val="32"/>
          <w:szCs w:val="32"/>
          <w:lang w:eastAsia="en-US"/>
        </w:rPr>
        <w:t xml:space="preserve"> </w:t>
      </w:r>
      <w:r>
        <w:rPr>
          <w:rFonts w:hint="eastAsia" w:ascii="仿宋_GB2312" w:hAnsi="仿宋_GB2312" w:eastAsia="仿宋_GB2312" w:cs="仿宋_GB2312"/>
          <w:snapToGrid w:val="0"/>
          <w:color w:val="000000"/>
          <w:spacing w:val="12"/>
          <w:kern w:val="0"/>
          <w:sz w:val="32"/>
          <w:szCs w:val="32"/>
          <w:lang w:eastAsia="en-US"/>
        </w:rPr>
        <w:t>调整和区域调剂平衡机制，统筹城乡医疗保障待遇标准，建立</w:t>
      </w:r>
      <w:r>
        <w:rPr>
          <w:rFonts w:hint="eastAsia" w:ascii="仿宋_GB2312" w:hAnsi="仿宋_GB2312" w:eastAsia="仿宋_GB2312" w:cs="仿宋_GB2312"/>
          <w:snapToGrid w:val="0"/>
          <w:color w:val="000000"/>
          <w:spacing w:val="18"/>
          <w:kern w:val="0"/>
          <w:sz w:val="32"/>
          <w:szCs w:val="32"/>
          <w:lang w:eastAsia="en-US"/>
        </w:rPr>
        <w:t xml:space="preserve"> </w:t>
      </w:r>
      <w:r>
        <w:rPr>
          <w:rFonts w:hint="eastAsia" w:ascii="仿宋_GB2312" w:hAnsi="仿宋_GB2312" w:eastAsia="仿宋_GB2312" w:cs="仿宋_GB2312"/>
          <w:snapToGrid w:val="0"/>
          <w:color w:val="000000"/>
          <w:spacing w:val="14"/>
          <w:kern w:val="0"/>
          <w:sz w:val="32"/>
          <w:szCs w:val="32"/>
          <w:lang w:eastAsia="en-US"/>
        </w:rPr>
        <w:t>健全与筹资水平相适应的待遇调整机制。贯彻落</w:t>
      </w:r>
      <w:r>
        <w:rPr>
          <w:rFonts w:hint="eastAsia" w:ascii="仿宋_GB2312" w:hAnsi="仿宋_GB2312" w:eastAsia="仿宋_GB2312" w:cs="仿宋_GB2312"/>
          <w:snapToGrid w:val="0"/>
          <w:color w:val="000000"/>
          <w:spacing w:val="13"/>
          <w:kern w:val="0"/>
          <w:sz w:val="32"/>
          <w:szCs w:val="32"/>
          <w:lang w:eastAsia="en-US"/>
        </w:rPr>
        <w:t>实安徽省长期</w:t>
      </w:r>
      <w:r>
        <w:rPr>
          <w:rFonts w:hint="eastAsia" w:ascii="仿宋_GB2312" w:hAnsi="仿宋_GB2312" w:eastAsia="仿宋_GB2312" w:cs="仿宋_GB2312"/>
          <w:snapToGrid w:val="0"/>
          <w:color w:val="000000"/>
          <w:kern w:val="0"/>
          <w:sz w:val="32"/>
          <w:szCs w:val="32"/>
          <w:lang w:eastAsia="en-US"/>
        </w:rPr>
        <w:t xml:space="preserve"> </w:t>
      </w:r>
      <w:r>
        <w:rPr>
          <w:rFonts w:hint="eastAsia" w:ascii="仿宋_GB2312" w:hAnsi="仿宋_GB2312" w:eastAsia="仿宋_GB2312" w:cs="仿宋_GB2312"/>
          <w:snapToGrid w:val="0"/>
          <w:color w:val="000000"/>
          <w:spacing w:val="2"/>
          <w:kern w:val="0"/>
          <w:sz w:val="32"/>
          <w:szCs w:val="32"/>
          <w:lang w:eastAsia="en-US"/>
        </w:rPr>
        <w:t>护理保险制度改革方案。</w:t>
      </w:r>
    </w:p>
    <w:p w14:paraId="107C2174">
      <w:pPr>
        <w:keepNext w:val="0"/>
        <w:keepLines w:val="0"/>
        <w:pageBreakBefore w:val="0"/>
        <w:widowControl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229" w:line="600" w:lineRule="exact"/>
        <w:ind w:right="197" w:firstLine="720" w:firstLineChars="200"/>
        <w:jc w:val="both"/>
        <w:textAlignment w:val="baseline"/>
        <w:rPr>
          <w:rFonts w:hint="eastAsia" w:ascii="仿宋_GB2312" w:hAnsi="仿宋_GB2312" w:eastAsia="仿宋_GB2312" w:cs="仿宋_GB2312"/>
          <w:snapToGrid w:val="0"/>
          <w:color w:val="000000"/>
          <w:spacing w:val="3"/>
          <w:kern w:val="0"/>
          <w:sz w:val="32"/>
          <w:szCs w:val="32"/>
          <w:lang w:eastAsia="en-US"/>
        </w:rPr>
      </w:pPr>
      <w:r>
        <w:rPr>
          <w:rFonts w:hint="eastAsia" w:ascii="仿宋_GB2312" w:hAnsi="仿宋_GB2312" w:eastAsia="仿宋_GB2312" w:cs="仿宋_GB2312"/>
          <w:snapToGrid w:val="0"/>
          <w:color w:val="000000"/>
          <w:spacing w:val="20"/>
          <w:kern w:val="0"/>
          <w:sz w:val="32"/>
          <w:szCs w:val="32"/>
          <w:lang w:eastAsia="en-US"/>
        </w:rPr>
        <w:t>(五)监督实施药品、医用耗材价格和医疗服务项目、医</w:t>
      </w:r>
      <w:r>
        <w:rPr>
          <w:rFonts w:hint="eastAsia" w:ascii="仿宋_GB2312" w:hAnsi="仿宋_GB2312" w:eastAsia="仿宋_GB2312" w:cs="仿宋_GB2312"/>
          <w:snapToGrid w:val="0"/>
          <w:color w:val="000000"/>
          <w:spacing w:val="13"/>
          <w:kern w:val="0"/>
          <w:sz w:val="32"/>
          <w:szCs w:val="32"/>
          <w:lang w:eastAsia="en-US"/>
        </w:rPr>
        <w:t>疗服务设施收费等政策，推动建立市场主导的社会医药服务价</w:t>
      </w:r>
      <w:r>
        <w:rPr>
          <w:rFonts w:hint="eastAsia" w:ascii="仿宋_GB2312" w:hAnsi="仿宋_GB2312" w:eastAsia="仿宋_GB2312" w:cs="仿宋_GB2312"/>
          <w:snapToGrid w:val="0"/>
          <w:color w:val="000000"/>
          <w:spacing w:val="3"/>
          <w:kern w:val="0"/>
          <w:sz w:val="32"/>
          <w:szCs w:val="32"/>
          <w:lang w:eastAsia="en-US"/>
        </w:rPr>
        <w:t>格形成机制。</w:t>
      </w:r>
    </w:p>
    <w:p w14:paraId="62212694">
      <w:pPr>
        <w:keepNext w:val="0"/>
        <w:keepLines w:val="0"/>
        <w:pageBreakBefore w:val="0"/>
        <w:widowControl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273" w:line="600" w:lineRule="exact"/>
        <w:ind w:right="177" w:firstLine="720" w:firstLineChars="200"/>
        <w:jc w:val="both"/>
        <w:textAlignment w:val="baseline"/>
        <w:rPr>
          <w:rFonts w:hint="eastAsia" w:ascii="仿宋_GB2312" w:hAnsi="仿宋_GB2312" w:eastAsia="仿宋_GB2312" w:cs="仿宋_GB2312"/>
          <w:snapToGrid w:val="0"/>
          <w:color w:val="000000"/>
          <w:spacing w:val="-4"/>
          <w:kern w:val="0"/>
          <w:sz w:val="32"/>
          <w:szCs w:val="32"/>
          <w:lang w:eastAsia="en-US"/>
        </w:rPr>
      </w:pPr>
      <w:r>
        <w:rPr>
          <w:rFonts w:hint="eastAsia" w:ascii="仿宋_GB2312" w:hAnsi="仿宋_GB2312" w:eastAsia="仿宋_GB2312" w:cs="仿宋_GB2312"/>
          <w:snapToGrid w:val="0"/>
          <w:color w:val="000000"/>
          <w:spacing w:val="20"/>
          <w:kern w:val="0"/>
          <w:sz w:val="32"/>
          <w:szCs w:val="32"/>
          <w:lang w:eastAsia="en-US"/>
        </w:rPr>
        <w:t>(六)监督实施药品、医用耗材的招标采购政策</w:t>
      </w:r>
      <w:r>
        <w:rPr>
          <w:rFonts w:hint="eastAsia" w:ascii="仿宋_GB2312" w:hAnsi="仿宋_GB2312" w:eastAsia="仿宋_GB2312" w:cs="仿宋_GB2312"/>
          <w:snapToGrid w:val="0"/>
          <w:color w:val="000000"/>
          <w:spacing w:val="19"/>
          <w:kern w:val="0"/>
          <w:sz w:val="32"/>
          <w:szCs w:val="32"/>
          <w:lang w:eastAsia="en-US"/>
        </w:rPr>
        <w:t>，做好全</w:t>
      </w:r>
      <w:r>
        <w:rPr>
          <w:rFonts w:hint="eastAsia" w:ascii="仿宋_GB2312" w:hAnsi="仿宋_GB2312" w:eastAsia="仿宋_GB2312" w:cs="仿宋_GB2312"/>
          <w:snapToGrid w:val="0"/>
          <w:color w:val="000000"/>
          <w:spacing w:val="12"/>
          <w:kern w:val="0"/>
          <w:sz w:val="32"/>
          <w:szCs w:val="32"/>
          <w:lang w:eastAsia="en-US"/>
        </w:rPr>
        <w:t>区医疗卫生机构药品、医用设备、医用耗材集中采购的监督管</w:t>
      </w:r>
      <w:r>
        <w:rPr>
          <w:rFonts w:hint="eastAsia" w:ascii="仿宋_GB2312" w:hAnsi="仿宋_GB2312" w:eastAsia="仿宋_GB2312" w:cs="仿宋_GB2312"/>
          <w:snapToGrid w:val="0"/>
          <w:color w:val="000000"/>
          <w:spacing w:val="-4"/>
          <w:kern w:val="0"/>
          <w:sz w:val="32"/>
          <w:szCs w:val="32"/>
          <w:lang w:eastAsia="en-US"/>
        </w:rPr>
        <w:t>理工作。</w:t>
      </w:r>
    </w:p>
    <w:p w14:paraId="14C5322F">
      <w:pPr>
        <w:keepNext w:val="0"/>
        <w:keepLines w:val="0"/>
        <w:pageBreakBefore w:val="0"/>
        <w:widowControl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273" w:line="600" w:lineRule="exact"/>
        <w:ind w:right="177" w:firstLine="720" w:firstLineChars="200"/>
        <w:jc w:val="both"/>
        <w:textAlignment w:val="baseline"/>
        <w:rPr>
          <w:rFonts w:hint="eastAsia" w:ascii="仿宋_GB2312" w:hAnsi="仿宋_GB2312" w:eastAsia="仿宋_GB2312" w:cs="仿宋_GB2312"/>
          <w:snapToGrid w:val="0"/>
          <w:color w:val="000000"/>
          <w:kern w:val="0"/>
          <w:sz w:val="32"/>
          <w:szCs w:val="32"/>
          <w:lang w:eastAsia="en-US"/>
        </w:rPr>
      </w:pPr>
      <w:r>
        <w:rPr>
          <w:rFonts w:hint="eastAsia" w:ascii="仿宋_GB2312" w:hAnsi="仿宋_GB2312" w:eastAsia="仿宋_GB2312" w:cs="仿宋_GB2312"/>
          <w:snapToGrid w:val="0"/>
          <w:color w:val="000000"/>
          <w:spacing w:val="20"/>
          <w:kern w:val="0"/>
          <w:sz w:val="32"/>
          <w:szCs w:val="32"/>
          <w:lang w:eastAsia="en-US"/>
        </w:rPr>
        <w:t>(七)监督管理纳入医保范围内的医疗服务行为和医疗费</w:t>
      </w:r>
      <w:r>
        <w:rPr>
          <w:rFonts w:hint="eastAsia" w:ascii="仿宋_GB2312" w:hAnsi="仿宋_GB2312" w:eastAsia="仿宋_GB2312" w:cs="仿宋_GB2312"/>
          <w:snapToGrid w:val="0"/>
          <w:color w:val="000000"/>
          <w:spacing w:val="6"/>
          <w:kern w:val="0"/>
          <w:sz w:val="32"/>
          <w:szCs w:val="32"/>
          <w:lang w:eastAsia="en-US"/>
        </w:rPr>
        <w:t>用，依法查处医疗保障领域违法违规行为。</w:t>
      </w:r>
    </w:p>
    <w:p w14:paraId="43C65798">
      <w:pPr>
        <w:keepNext w:val="0"/>
        <w:keepLines w:val="0"/>
        <w:pageBreakBefore w:val="0"/>
        <w:widowControl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253" w:line="600" w:lineRule="exact"/>
        <w:ind w:right="183" w:firstLine="720" w:firstLineChars="200"/>
        <w:jc w:val="both"/>
        <w:textAlignment w:val="baseline"/>
        <w:rPr>
          <w:rFonts w:hint="eastAsia" w:ascii="仿宋_GB2312" w:hAnsi="仿宋_GB2312" w:eastAsia="仿宋_GB2312" w:cs="仿宋_GB2312"/>
          <w:snapToGrid w:val="0"/>
          <w:color w:val="000000"/>
          <w:kern w:val="0"/>
          <w:sz w:val="32"/>
          <w:szCs w:val="32"/>
          <w:lang w:eastAsia="en-US"/>
        </w:rPr>
      </w:pPr>
      <w:r>
        <w:rPr>
          <w:rFonts w:hint="eastAsia" w:ascii="仿宋_GB2312" w:hAnsi="仿宋_GB2312" w:eastAsia="仿宋_GB2312" w:cs="仿宋_GB2312"/>
          <w:snapToGrid w:val="0"/>
          <w:color w:val="000000"/>
          <w:spacing w:val="20"/>
          <w:kern w:val="0"/>
          <w:sz w:val="32"/>
          <w:szCs w:val="32"/>
          <w:lang w:eastAsia="en-US"/>
        </w:rPr>
        <w:t>(八)协助做好医疗保障经办管理、公共服务体系和信息</w:t>
      </w:r>
      <w:r>
        <w:rPr>
          <w:rFonts w:hint="eastAsia" w:ascii="仿宋_GB2312" w:hAnsi="仿宋_GB2312" w:eastAsia="仿宋_GB2312" w:cs="仿宋_GB2312"/>
          <w:snapToGrid w:val="0"/>
          <w:color w:val="000000"/>
          <w:spacing w:val="13"/>
          <w:kern w:val="0"/>
          <w:sz w:val="32"/>
          <w:szCs w:val="32"/>
          <w:lang w:eastAsia="en-US"/>
        </w:rPr>
        <w:t>化建设，贯彻落实异地就医管理和费用结算政策。建立健</w:t>
      </w:r>
      <w:r>
        <w:rPr>
          <w:rFonts w:hint="eastAsia" w:ascii="仿宋_GB2312" w:hAnsi="仿宋_GB2312" w:eastAsia="仿宋_GB2312" w:cs="仿宋_GB2312"/>
          <w:snapToGrid w:val="0"/>
          <w:color w:val="000000"/>
          <w:spacing w:val="12"/>
          <w:kern w:val="0"/>
          <w:sz w:val="32"/>
          <w:szCs w:val="32"/>
          <w:lang w:eastAsia="en-US"/>
        </w:rPr>
        <w:t>全医</w:t>
      </w:r>
      <w:r>
        <w:rPr>
          <w:rFonts w:hint="eastAsia" w:ascii="仿宋_GB2312" w:hAnsi="仿宋_GB2312" w:eastAsia="仿宋_GB2312" w:cs="仿宋_GB2312"/>
          <w:snapToGrid w:val="0"/>
          <w:color w:val="000000"/>
          <w:spacing w:val="8"/>
          <w:kern w:val="0"/>
          <w:sz w:val="32"/>
          <w:szCs w:val="32"/>
          <w:lang w:eastAsia="en-US"/>
        </w:rPr>
        <w:t>疗保障关系转移接续制度，开展医疗保险领域交流工</w:t>
      </w:r>
      <w:r>
        <w:rPr>
          <w:rFonts w:hint="eastAsia" w:ascii="仿宋_GB2312" w:hAnsi="仿宋_GB2312" w:eastAsia="仿宋_GB2312" w:cs="仿宋_GB2312"/>
          <w:snapToGrid w:val="0"/>
          <w:color w:val="000000"/>
          <w:spacing w:val="7"/>
          <w:kern w:val="0"/>
          <w:sz w:val="32"/>
          <w:szCs w:val="32"/>
          <w:lang w:eastAsia="en-US"/>
        </w:rPr>
        <w:t>作。</w:t>
      </w:r>
    </w:p>
    <w:p w14:paraId="76B9A03E">
      <w:pPr>
        <w:keepNext w:val="0"/>
        <w:keepLines w:val="0"/>
        <w:pageBreakBefore w:val="0"/>
        <w:widowControl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251" w:line="600" w:lineRule="exact"/>
        <w:ind w:firstLine="688" w:firstLineChars="200"/>
        <w:jc w:val="both"/>
        <w:textAlignment w:val="baseline"/>
        <w:rPr>
          <w:rFonts w:hint="eastAsia" w:ascii="仿宋_GB2312" w:hAnsi="仿宋_GB2312" w:eastAsia="仿宋_GB2312" w:cs="仿宋_GB2312"/>
          <w:snapToGrid w:val="0"/>
          <w:color w:val="000000"/>
          <w:kern w:val="0"/>
          <w:sz w:val="32"/>
          <w:szCs w:val="32"/>
          <w:lang w:eastAsia="en-US"/>
        </w:rPr>
      </w:pPr>
      <w:r>
        <w:rPr>
          <w:rFonts w:hint="eastAsia" w:ascii="仿宋_GB2312" w:hAnsi="仿宋_GB2312" w:eastAsia="仿宋_GB2312" w:cs="仿宋_GB2312"/>
          <w:snapToGrid w:val="0"/>
          <w:color w:val="000000"/>
          <w:spacing w:val="12"/>
          <w:kern w:val="0"/>
          <w:sz w:val="32"/>
          <w:szCs w:val="32"/>
          <w:lang w:eastAsia="en-US"/>
        </w:rPr>
        <w:t>(九)负责区委、区政府和区委编委明确的安全生产职责。</w:t>
      </w:r>
    </w:p>
    <w:p w14:paraId="7B8D8E07">
      <w:pPr>
        <w:keepNext w:val="0"/>
        <w:keepLines w:val="0"/>
        <w:pageBreakBefore w:val="0"/>
        <w:widowControl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235" w:line="600" w:lineRule="exact"/>
        <w:ind w:firstLine="700" w:firstLineChars="200"/>
        <w:jc w:val="both"/>
        <w:textAlignment w:val="baseline"/>
        <w:rPr>
          <w:rFonts w:hint="eastAsia" w:ascii="仿宋_GB2312" w:hAnsi="仿宋_GB2312" w:eastAsia="仿宋_GB2312" w:cs="仿宋_GB2312"/>
          <w:snapToGrid w:val="0"/>
          <w:color w:val="000000"/>
          <w:kern w:val="0"/>
          <w:sz w:val="32"/>
          <w:szCs w:val="32"/>
          <w:lang w:eastAsia="en-US"/>
        </w:rPr>
      </w:pPr>
      <w:r>
        <w:rPr>
          <w:rFonts w:hint="eastAsia" w:ascii="仿宋_GB2312" w:hAnsi="仿宋_GB2312" w:eastAsia="仿宋_GB2312" w:cs="仿宋_GB2312"/>
          <w:snapToGrid w:val="0"/>
          <w:color w:val="000000"/>
          <w:spacing w:val="15"/>
          <w:kern w:val="0"/>
          <w:sz w:val="32"/>
          <w:szCs w:val="32"/>
          <w:lang w:eastAsia="en-US"/>
        </w:rPr>
        <w:t>(十)完成区委、区政府交办的其他任务。</w:t>
      </w:r>
    </w:p>
    <w:p w14:paraId="421BE524">
      <w:pPr>
        <w:keepNext w:val="0"/>
        <w:keepLines w:val="0"/>
        <w:pageBreakBefore w:val="0"/>
        <w:widowControl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98" w:line="600" w:lineRule="exact"/>
        <w:ind w:right="12" w:firstLine="720" w:firstLineChars="200"/>
        <w:jc w:val="both"/>
        <w:textAlignment w:val="baseline"/>
        <w:rPr>
          <w:rFonts w:hint="eastAsia" w:ascii="仿宋_GB2312" w:hAnsi="仿宋_GB2312" w:eastAsia="仿宋_GB2312" w:cs="仿宋_GB2312"/>
          <w:snapToGrid w:val="0"/>
          <w:color w:val="000000"/>
          <w:kern w:val="0"/>
          <w:sz w:val="32"/>
          <w:szCs w:val="32"/>
          <w:lang w:eastAsia="en-US"/>
        </w:rPr>
      </w:pPr>
      <w:r>
        <w:rPr>
          <w:rFonts w:hint="eastAsia" w:ascii="仿宋_GB2312" w:hAnsi="仿宋_GB2312" w:eastAsia="仿宋_GB2312" w:cs="仿宋_GB2312"/>
          <w:snapToGrid w:val="0"/>
          <w:color w:val="000000"/>
          <w:spacing w:val="20"/>
          <w:kern w:val="0"/>
          <w:sz w:val="32"/>
          <w:szCs w:val="32"/>
          <w:lang w:eastAsia="en-US"/>
        </w:rPr>
        <w:t>(十一)职能转变。区医疗保障局应贯彻落实全市统一的</w:t>
      </w:r>
      <w:r>
        <w:rPr>
          <w:rFonts w:hint="eastAsia" w:ascii="仿宋_GB2312" w:hAnsi="仿宋_GB2312" w:eastAsia="仿宋_GB2312" w:cs="仿宋_GB2312"/>
          <w:snapToGrid w:val="0"/>
          <w:color w:val="000000"/>
          <w:spacing w:val="13"/>
          <w:kern w:val="0"/>
          <w:sz w:val="32"/>
          <w:szCs w:val="32"/>
          <w:lang w:eastAsia="en-US"/>
        </w:rPr>
        <w:t>城乡居民基本医疗保险制度和大病保险制度，建立健全覆盖全</w:t>
      </w:r>
      <w:r>
        <w:rPr>
          <w:rFonts w:hint="eastAsia" w:ascii="仿宋_GB2312" w:hAnsi="仿宋_GB2312" w:eastAsia="仿宋_GB2312" w:cs="仿宋_GB2312"/>
          <w:snapToGrid w:val="0"/>
          <w:color w:val="000000"/>
          <w:spacing w:val="4"/>
          <w:kern w:val="0"/>
          <w:sz w:val="32"/>
          <w:szCs w:val="32"/>
          <w:lang w:eastAsia="en-US"/>
        </w:rPr>
        <w:t>民、城乡统筹的多层次医疗保障体系，不断提高医疗保障水平，</w:t>
      </w:r>
      <w:r>
        <w:rPr>
          <w:rFonts w:hint="eastAsia" w:ascii="仿宋_GB2312" w:hAnsi="仿宋_GB2312" w:eastAsia="仿宋_GB2312" w:cs="仿宋_GB2312"/>
          <w:snapToGrid w:val="0"/>
          <w:color w:val="000000"/>
          <w:spacing w:val="1"/>
          <w:kern w:val="0"/>
          <w:sz w:val="32"/>
          <w:szCs w:val="32"/>
          <w:lang w:eastAsia="en-US"/>
        </w:rPr>
        <w:t>确保医保资金合理使用、安全可控，推进医疗、医保、医药“三</w:t>
      </w:r>
      <w:r>
        <w:rPr>
          <w:rFonts w:hint="eastAsia" w:ascii="仿宋_GB2312" w:hAnsi="仿宋_GB2312" w:eastAsia="仿宋_GB2312" w:cs="仿宋_GB2312"/>
          <w:snapToGrid w:val="0"/>
          <w:color w:val="000000"/>
          <w:spacing w:val="12"/>
          <w:kern w:val="0"/>
          <w:sz w:val="32"/>
          <w:szCs w:val="32"/>
          <w:lang w:eastAsia="en-US"/>
        </w:rPr>
        <w:t>医联动”改革，更好保障人民群众就医需求、减</w:t>
      </w:r>
      <w:r>
        <w:rPr>
          <w:rFonts w:hint="eastAsia" w:ascii="仿宋_GB2312" w:hAnsi="仿宋_GB2312" w:eastAsia="仿宋_GB2312" w:cs="仿宋_GB2312"/>
          <w:snapToGrid w:val="0"/>
          <w:color w:val="000000"/>
          <w:spacing w:val="11"/>
          <w:kern w:val="0"/>
          <w:sz w:val="32"/>
          <w:szCs w:val="32"/>
          <w:lang w:eastAsia="en-US"/>
        </w:rPr>
        <w:t>轻医药费用负</w:t>
      </w:r>
      <w:r>
        <w:rPr>
          <w:rFonts w:hint="eastAsia" w:ascii="仿宋_GB2312" w:hAnsi="仿宋_GB2312" w:eastAsia="仿宋_GB2312" w:cs="仿宋_GB2312"/>
          <w:snapToGrid w:val="0"/>
          <w:color w:val="000000"/>
          <w:spacing w:val="-8"/>
          <w:kern w:val="0"/>
          <w:sz w:val="32"/>
          <w:szCs w:val="32"/>
          <w:lang w:eastAsia="en-US"/>
        </w:rPr>
        <w:t>担。</w:t>
      </w:r>
    </w:p>
    <w:p w14:paraId="21581759">
      <w:pPr>
        <w:keepNext w:val="0"/>
        <w:keepLines w:val="0"/>
        <w:pageBreakBefore w:val="0"/>
        <w:widowControl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" w:line="600" w:lineRule="exact"/>
        <w:ind w:firstLine="716" w:firstLineChars="200"/>
        <w:jc w:val="both"/>
        <w:textAlignment w:val="baseline"/>
        <w:rPr>
          <w:rFonts w:hint="eastAsia" w:ascii="仿宋_GB2312" w:hAnsi="仿宋_GB2312" w:eastAsia="仿宋_GB2312" w:cs="仿宋_GB2312"/>
          <w:snapToGrid w:val="0"/>
          <w:color w:val="000000"/>
          <w:spacing w:val="3"/>
          <w:kern w:val="0"/>
          <w:sz w:val="32"/>
          <w:szCs w:val="32"/>
          <w:lang w:eastAsia="en-US"/>
        </w:rPr>
      </w:pPr>
      <w:r>
        <w:rPr>
          <w:rFonts w:hint="eastAsia" w:ascii="仿宋_GB2312" w:hAnsi="仿宋_GB2312" w:eastAsia="仿宋_GB2312" w:cs="仿宋_GB2312"/>
          <w:snapToGrid w:val="0"/>
          <w:color w:val="000000"/>
          <w:spacing w:val="19"/>
          <w:kern w:val="0"/>
          <w:sz w:val="32"/>
          <w:szCs w:val="32"/>
          <w:lang w:eastAsia="en-US"/>
        </w:rPr>
        <w:t>(十二)与区卫生健康委员会的有关职责分工。区卫生健</w:t>
      </w:r>
      <w:r>
        <w:rPr>
          <w:rFonts w:hint="eastAsia" w:ascii="仿宋_GB2312" w:hAnsi="仿宋_GB2312" w:eastAsia="仿宋_GB2312" w:cs="仿宋_GB2312"/>
          <w:snapToGrid w:val="0"/>
          <w:color w:val="000000"/>
          <w:spacing w:val="13"/>
          <w:kern w:val="0"/>
          <w:sz w:val="32"/>
          <w:szCs w:val="32"/>
          <w:lang w:eastAsia="en-US"/>
        </w:rPr>
        <w:t>康委员会、区医疗保障局等部门在医疗、医保、医药等方</w:t>
      </w:r>
      <w:r>
        <w:rPr>
          <w:rFonts w:hint="eastAsia" w:ascii="仿宋_GB2312" w:hAnsi="仿宋_GB2312" w:eastAsia="仿宋_GB2312" w:cs="仿宋_GB2312"/>
          <w:snapToGrid w:val="0"/>
          <w:color w:val="000000"/>
          <w:spacing w:val="12"/>
          <w:kern w:val="0"/>
          <w:sz w:val="32"/>
          <w:szCs w:val="32"/>
          <w:lang w:eastAsia="en-US"/>
        </w:rPr>
        <w:t>面加</w:t>
      </w:r>
      <w:r>
        <w:rPr>
          <w:rFonts w:hint="eastAsia" w:ascii="仿宋_GB2312" w:hAnsi="仿宋_GB2312" w:eastAsia="仿宋_GB2312" w:cs="仿宋_GB2312"/>
          <w:snapToGrid w:val="0"/>
          <w:color w:val="000000"/>
          <w:spacing w:val="13"/>
          <w:kern w:val="0"/>
          <w:sz w:val="32"/>
          <w:szCs w:val="32"/>
          <w:lang w:eastAsia="en-US"/>
        </w:rPr>
        <w:t>强制度、政策衔接，建立沟通协商机制，协</w:t>
      </w:r>
      <w:r>
        <w:rPr>
          <w:rFonts w:hint="eastAsia" w:ascii="仿宋_GB2312" w:hAnsi="仿宋_GB2312" w:eastAsia="仿宋_GB2312" w:cs="仿宋_GB2312"/>
          <w:snapToGrid w:val="0"/>
          <w:color w:val="000000"/>
          <w:spacing w:val="12"/>
          <w:kern w:val="0"/>
          <w:sz w:val="32"/>
          <w:szCs w:val="32"/>
          <w:lang w:eastAsia="en-US"/>
        </w:rPr>
        <w:t>同推进改革，提高</w:t>
      </w:r>
      <w:r>
        <w:rPr>
          <w:rFonts w:hint="eastAsia" w:ascii="仿宋_GB2312" w:hAnsi="仿宋_GB2312" w:eastAsia="仿宋_GB2312" w:cs="仿宋_GB2312"/>
          <w:snapToGrid w:val="0"/>
          <w:color w:val="000000"/>
          <w:spacing w:val="3"/>
          <w:kern w:val="0"/>
          <w:sz w:val="32"/>
          <w:szCs w:val="32"/>
          <w:lang w:eastAsia="en-US"/>
        </w:rPr>
        <w:t>医疗资源使用效率和医疗保障水平。</w:t>
      </w:r>
    </w:p>
    <w:p w14:paraId="691B438A">
      <w:pPr>
        <w:keepNext w:val="0"/>
        <w:keepLines w:val="0"/>
        <w:pageBreakBefore w:val="0"/>
        <w:widowControl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" w:line="600" w:lineRule="exact"/>
        <w:ind w:firstLine="667" w:firstLineChars="200"/>
        <w:jc w:val="both"/>
        <w:textAlignment w:val="baseline"/>
        <w:rPr>
          <w:rFonts w:hint="eastAsia" w:ascii="仿宋_GB2312" w:hAnsi="仿宋_GB2312" w:eastAsia="仿宋_GB2312" w:cs="仿宋_GB2312"/>
          <w:snapToGrid w:val="0"/>
          <w:color w:val="000000"/>
          <w:spacing w:val="6"/>
          <w:kern w:val="0"/>
          <w:sz w:val="32"/>
          <w:szCs w:val="32"/>
          <w:lang w:eastAsia="en-US"/>
        </w:rPr>
      </w:pPr>
      <w:r>
        <w:rPr>
          <w:rFonts w:hint="eastAsia" w:ascii="仿宋_GB2312" w:hAnsi="仿宋_GB2312" w:eastAsia="仿宋_GB2312" w:cs="仿宋_GB2312"/>
          <w:b/>
          <w:bCs/>
          <w:snapToGrid w:val="0"/>
          <w:color w:val="000000"/>
          <w:spacing w:val="6"/>
          <w:kern w:val="0"/>
          <w:sz w:val="32"/>
          <w:szCs w:val="32"/>
          <w:lang w:eastAsia="en-US"/>
        </w:rPr>
        <w:t>第四条</w:t>
      </w:r>
      <w:r>
        <w:rPr>
          <w:rFonts w:hint="eastAsia" w:ascii="仿宋_GB2312" w:hAnsi="仿宋_GB2312" w:eastAsia="仿宋_GB2312" w:cs="仿宋_GB2312"/>
          <w:b/>
          <w:bCs/>
          <w:snapToGrid w:val="0"/>
          <w:color w:val="000000"/>
          <w:spacing w:val="6"/>
          <w:kern w:val="0"/>
          <w:sz w:val="32"/>
          <w:szCs w:val="32"/>
          <w:lang w:val="en-US" w:eastAsia="zh-CN"/>
        </w:rPr>
        <w:t xml:space="preserve">  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napToGrid w:val="0"/>
          <w:color w:val="000000"/>
          <w:spacing w:val="6"/>
          <w:kern w:val="0"/>
          <w:sz w:val="32"/>
          <w:szCs w:val="32"/>
          <w:lang w:eastAsia="en-US"/>
        </w:rPr>
        <w:t>区医疗保障局不设内设机构。</w:t>
      </w:r>
    </w:p>
    <w:p w14:paraId="1CCE1B82">
      <w:pPr>
        <w:keepNext w:val="0"/>
        <w:keepLines w:val="0"/>
        <w:pageBreakBefore w:val="0"/>
        <w:widowControl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" w:line="600" w:lineRule="exact"/>
        <w:ind w:firstLine="1992" w:firstLineChars="600"/>
        <w:jc w:val="both"/>
        <w:textAlignment w:val="baseline"/>
        <w:rPr>
          <w:rFonts w:hint="eastAsia" w:ascii="仿宋_GB2312" w:hAnsi="仿宋_GB2312" w:eastAsia="仿宋_GB2312" w:cs="仿宋_GB2312"/>
          <w:snapToGrid w:val="0"/>
          <w:color w:val="000000"/>
          <w:kern w:val="0"/>
          <w:sz w:val="32"/>
          <w:szCs w:val="32"/>
          <w:lang w:eastAsia="en-US"/>
        </w:rPr>
      </w:pPr>
      <w:r>
        <w:rPr>
          <w:rFonts w:hint="eastAsia" w:ascii="仿宋_GB2312" w:hAnsi="仿宋_GB2312" w:eastAsia="仿宋_GB2312" w:cs="仿宋_GB2312"/>
          <w:snapToGrid w:val="0"/>
          <w:color w:val="000000"/>
          <w:spacing w:val="6"/>
          <w:kern w:val="0"/>
          <w:sz w:val="32"/>
          <w:szCs w:val="32"/>
          <w:lang w:eastAsia="en-US"/>
        </w:rPr>
        <w:t>机关党组织设置按有关规定执行。</w:t>
      </w:r>
    </w:p>
    <w:p w14:paraId="524A6517">
      <w:pPr>
        <w:keepNext w:val="0"/>
        <w:keepLines w:val="0"/>
        <w:pageBreakBefore w:val="0"/>
        <w:widowControl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221" w:line="600" w:lineRule="exact"/>
        <w:ind w:firstLine="703" w:firstLineChars="200"/>
        <w:jc w:val="both"/>
        <w:textAlignment w:val="baseline"/>
        <w:rPr>
          <w:rFonts w:hint="eastAsia" w:ascii="仿宋_GB2312" w:hAnsi="仿宋_GB2312" w:eastAsia="仿宋_GB2312" w:cs="仿宋_GB2312"/>
          <w:snapToGrid w:val="0"/>
          <w:color w:val="000000"/>
          <w:kern w:val="0"/>
          <w:sz w:val="32"/>
          <w:szCs w:val="32"/>
          <w:lang w:eastAsia="en-US"/>
        </w:rPr>
      </w:pPr>
      <w:r>
        <w:rPr>
          <w:rFonts w:hint="eastAsia" w:ascii="仿宋_GB2312" w:hAnsi="仿宋_GB2312" w:eastAsia="仿宋_GB2312" w:cs="仿宋_GB2312"/>
          <w:b/>
          <w:bCs/>
          <w:snapToGrid w:val="0"/>
          <w:color w:val="000000"/>
          <w:spacing w:val="15"/>
          <w:kern w:val="0"/>
          <w:sz w:val="32"/>
          <w:szCs w:val="32"/>
          <w:lang w:eastAsia="en-US"/>
        </w:rPr>
        <w:t>第五条</w:t>
      </w:r>
      <w:r>
        <w:rPr>
          <w:rFonts w:hint="eastAsia" w:ascii="仿宋_GB2312" w:hAnsi="仿宋_GB2312" w:eastAsia="仿宋_GB2312" w:cs="仿宋_GB2312"/>
          <w:snapToGrid w:val="0"/>
          <w:color w:val="000000"/>
          <w:spacing w:val="146"/>
          <w:kern w:val="0"/>
          <w:sz w:val="32"/>
          <w:szCs w:val="32"/>
          <w:lang w:eastAsia="en-US"/>
        </w:rPr>
        <w:t xml:space="preserve"> </w:t>
      </w:r>
      <w:r>
        <w:rPr>
          <w:rFonts w:hint="eastAsia" w:ascii="仿宋_GB2312" w:hAnsi="仿宋_GB2312" w:eastAsia="仿宋_GB2312" w:cs="仿宋_GB2312"/>
          <w:snapToGrid w:val="0"/>
          <w:color w:val="000000"/>
          <w:spacing w:val="15"/>
          <w:kern w:val="0"/>
          <w:sz w:val="32"/>
          <w:szCs w:val="32"/>
          <w:lang w:eastAsia="en-US"/>
        </w:rPr>
        <w:t>区医疗保障局机关行政编制3名。设局长1名，副</w:t>
      </w:r>
      <w:r>
        <w:rPr>
          <w:rFonts w:hint="eastAsia" w:ascii="仿宋_GB2312" w:hAnsi="仿宋_GB2312" w:eastAsia="仿宋_GB2312" w:cs="仿宋_GB2312"/>
          <w:snapToGrid w:val="0"/>
          <w:color w:val="000000"/>
          <w:spacing w:val="18"/>
          <w:kern w:val="0"/>
          <w:sz w:val="32"/>
          <w:szCs w:val="32"/>
          <w:lang w:eastAsia="en-US"/>
        </w:rPr>
        <w:t>局长1名。</w:t>
      </w:r>
    </w:p>
    <w:p w14:paraId="04ED4113">
      <w:pPr>
        <w:keepNext w:val="0"/>
        <w:keepLines w:val="0"/>
        <w:pageBreakBefore w:val="0"/>
        <w:widowControl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271" w:line="600" w:lineRule="exact"/>
        <w:ind w:right="54" w:firstLine="699" w:firstLineChars="200"/>
        <w:jc w:val="both"/>
        <w:textAlignment w:val="baseline"/>
        <w:rPr>
          <w:rFonts w:hint="eastAsia" w:ascii="仿宋_GB2312" w:hAnsi="仿宋_GB2312" w:eastAsia="仿宋_GB2312" w:cs="仿宋_GB2312"/>
          <w:snapToGrid w:val="0"/>
          <w:color w:val="000000"/>
          <w:kern w:val="0"/>
          <w:sz w:val="32"/>
          <w:szCs w:val="32"/>
          <w:lang w:eastAsia="en-US"/>
        </w:rPr>
      </w:pPr>
      <w:r>
        <w:rPr>
          <w:rFonts w:hint="eastAsia" w:ascii="仿宋_GB2312" w:hAnsi="仿宋_GB2312" w:eastAsia="仿宋_GB2312" w:cs="仿宋_GB2312"/>
          <w:b/>
          <w:bCs/>
          <w:snapToGrid w:val="0"/>
          <w:color w:val="000000"/>
          <w:spacing w:val="14"/>
          <w:kern w:val="0"/>
          <w:sz w:val="32"/>
          <w:szCs w:val="32"/>
          <w:lang w:eastAsia="en-US"/>
        </w:rPr>
        <w:t>第六条</w:t>
      </w:r>
      <w:r>
        <w:rPr>
          <w:rFonts w:hint="eastAsia" w:ascii="仿宋_GB2312" w:hAnsi="仿宋_GB2312" w:eastAsia="仿宋_GB2312" w:cs="仿宋_GB2312"/>
          <w:snapToGrid w:val="0"/>
          <w:color w:val="000000"/>
          <w:spacing w:val="130"/>
          <w:kern w:val="0"/>
          <w:sz w:val="32"/>
          <w:szCs w:val="32"/>
          <w:lang w:eastAsia="en-US"/>
        </w:rPr>
        <w:t xml:space="preserve"> </w:t>
      </w:r>
      <w:r>
        <w:rPr>
          <w:rFonts w:hint="eastAsia" w:ascii="仿宋_GB2312" w:hAnsi="仿宋_GB2312" w:eastAsia="仿宋_GB2312" w:cs="仿宋_GB2312"/>
          <w:snapToGrid w:val="0"/>
          <w:color w:val="000000"/>
          <w:spacing w:val="14"/>
          <w:kern w:val="0"/>
          <w:sz w:val="32"/>
          <w:szCs w:val="32"/>
          <w:lang w:eastAsia="en-US"/>
        </w:rPr>
        <w:t>区委机构编制委员会办公室负责对本规定的执行</w:t>
      </w:r>
      <w:r>
        <w:rPr>
          <w:rFonts w:hint="eastAsia" w:ascii="仿宋_GB2312" w:hAnsi="仿宋_GB2312" w:eastAsia="仿宋_GB2312" w:cs="仿宋_GB2312"/>
          <w:snapToGrid w:val="0"/>
          <w:color w:val="000000"/>
          <w:spacing w:val="13"/>
          <w:kern w:val="0"/>
          <w:sz w:val="32"/>
          <w:szCs w:val="32"/>
          <w:lang w:eastAsia="en-US"/>
        </w:rPr>
        <w:t>情况进行监督检查，其调整由区委机构编制委员会办公室按规</w:t>
      </w:r>
      <w:r>
        <w:rPr>
          <w:rFonts w:hint="eastAsia" w:ascii="仿宋_GB2312" w:hAnsi="仿宋_GB2312" w:eastAsia="仿宋_GB2312" w:cs="仿宋_GB2312"/>
          <w:snapToGrid w:val="0"/>
          <w:color w:val="000000"/>
          <w:spacing w:val="1"/>
          <w:kern w:val="0"/>
          <w:sz w:val="32"/>
          <w:szCs w:val="32"/>
          <w:lang w:eastAsia="en-US"/>
        </w:rPr>
        <w:t>定程序办理。</w:t>
      </w:r>
    </w:p>
    <w:p w14:paraId="1E566CFC">
      <w:pPr>
        <w:keepNext w:val="0"/>
        <w:keepLines w:val="0"/>
        <w:pageBreakBefore w:val="0"/>
        <w:widowControl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229" w:line="600" w:lineRule="exact"/>
        <w:ind w:right="197" w:firstLine="751" w:firstLineChars="200"/>
        <w:jc w:val="both"/>
        <w:textAlignment w:val="baseline"/>
        <w:rPr>
          <w:rFonts w:hint="eastAsia" w:ascii="仿宋_GB2312" w:hAnsi="仿宋_GB2312" w:eastAsia="仿宋_GB2312" w:cs="仿宋_GB2312"/>
          <w:snapToGrid w:val="0"/>
          <w:color w:val="000000"/>
          <w:kern w:val="0"/>
          <w:sz w:val="32"/>
          <w:szCs w:val="32"/>
          <w:lang w:eastAsia="en-US"/>
        </w:rPr>
      </w:pPr>
      <w:r>
        <w:rPr>
          <w:rFonts w:hint="eastAsia" w:ascii="仿宋_GB2312" w:hAnsi="仿宋_GB2312" w:eastAsia="仿宋_GB2312" w:cs="仿宋_GB2312"/>
          <w:b/>
          <w:bCs/>
          <w:snapToGrid w:val="0"/>
          <w:color w:val="000000"/>
          <w:spacing w:val="27"/>
          <w:kern w:val="0"/>
          <w:sz w:val="32"/>
          <w:szCs w:val="32"/>
          <w:lang w:eastAsia="en-US"/>
        </w:rPr>
        <w:t>第七条</w:t>
      </w:r>
      <w:r>
        <w:rPr>
          <w:rFonts w:hint="eastAsia" w:ascii="仿宋_GB2312" w:hAnsi="仿宋_GB2312" w:eastAsia="仿宋_GB2312" w:cs="仿宋_GB2312"/>
          <w:snapToGrid w:val="0"/>
          <w:color w:val="000000"/>
          <w:spacing w:val="148"/>
          <w:kern w:val="0"/>
          <w:sz w:val="32"/>
          <w:szCs w:val="32"/>
          <w:lang w:eastAsia="en-US"/>
        </w:rPr>
        <w:t xml:space="preserve"> </w:t>
      </w:r>
      <w:r>
        <w:rPr>
          <w:rFonts w:hint="eastAsia" w:ascii="仿宋_GB2312" w:hAnsi="仿宋_GB2312" w:eastAsia="仿宋_GB2312" w:cs="仿宋_GB2312"/>
          <w:snapToGrid w:val="0"/>
          <w:color w:val="000000"/>
          <w:spacing w:val="27"/>
          <w:kern w:val="0"/>
          <w:sz w:val="32"/>
          <w:szCs w:val="32"/>
          <w:lang w:eastAsia="en-US"/>
        </w:rPr>
        <w:t>本规定自2019年3月29日起施行。</w:t>
      </w:r>
    </w:p>
    <w:p w14:paraId="46328D93">
      <w:pPr>
        <w:keepNext w:val="0"/>
        <w:keepLines w:val="0"/>
        <w:pageBreakBefore w:val="0"/>
        <w:widowControl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253" w:line="600" w:lineRule="exact"/>
        <w:ind w:right="108" w:firstLine="640" w:firstLineChars="200"/>
        <w:jc w:val="both"/>
        <w:textAlignment w:val="baseline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</w:p>
    <w:p w14:paraId="3C954D86">
      <w:pPr>
        <w:keepNext w:val="0"/>
        <w:keepLines w:val="0"/>
        <w:pageBreakBefore w:val="0"/>
        <w:widowControl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253" w:line="600" w:lineRule="exact"/>
        <w:ind w:right="108" w:firstLine="640" w:firstLineChars="200"/>
        <w:jc w:val="both"/>
        <w:textAlignment w:val="baseline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</w:p>
    <w:p w14:paraId="254423A4">
      <w:pPr>
        <w:keepNext w:val="0"/>
        <w:keepLines w:val="0"/>
        <w:pageBreakBefore w:val="0"/>
        <w:widowControl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253" w:line="600" w:lineRule="exact"/>
        <w:ind w:right="108" w:firstLine="640" w:firstLineChars="200"/>
        <w:jc w:val="both"/>
        <w:textAlignment w:val="baseline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</w:p>
    <w:p w14:paraId="28756CFF">
      <w:pPr>
        <w:keepNext w:val="0"/>
        <w:keepLines w:val="0"/>
        <w:pageBreakBefore w:val="0"/>
        <w:widowControl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253" w:line="600" w:lineRule="exact"/>
        <w:ind w:right="108" w:firstLine="640" w:firstLineChars="200"/>
        <w:jc w:val="right"/>
        <w:textAlignment w:val="baseline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sectPr>
          <w:footerReference r:id="rId3" w:type="default"/>
          <w:pgSz w:w="11900" w:h="16840"/>
          <w:pgMar w:top="1431" w:right="1785" w:bottom="1307" w:left="1480" w:header="0" w:footer="918" w:gutter="0"/>
          <w:cols w:space="720" w:num="1"/>
        </w:sect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谢家集区医疗保障局</w:t>
      </w:r>
    </w:p>
    <w:p w14:paraId="730145E0">
      <w:pPr>
        <w:keepNext w:val="0"/>
        <w:keepLines w:val="0"/>
        <w:pageBreakBefore w:val="0"/>
        <w:widowControl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75" w:line="600" w:lineRule="exact"/>
        <w:ind w:left="185" w:right="5" w:firstLine="600" w:firstLineChars="200"/>
        <w:jc w:val="both"/>
        <w:textAlignment w:val="baseline"/>
        <w:rPr>
          <w:rFonts w:ascii="仿宋" w:hAnsi="仿宋" w:eastAsia="仿宋" w:cs="仿宋"/>
          <w:snapToGrid w:val="0"/>
          <w:color w:val="000000"/>
          <w:kern w:val="0"/>
          <w:sz w:val="30"/>
          <w:szCs w:val="30"/>
          <w:lang w:eastAsia="en-US"/>
        </w:rPr>
      </w:pPr>
    </w:p>
    <w:p w14:paraId="30A0CD9D">
      <w:pPr>
        <w:keepNext w:val="0"/>
        <w:keepLines w:val="0"/>
        <w:pageBreakBefore w:val="0"/>
        <w:widowControl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97" w:line="600" w:lineRule="exact"/>
        <w:ind w:right="159" w:firstLine="600" w:firstLineChars="200"/>
        <w:jc w:val="both"/>
        <w:textAlignment w:val="baseline"/>
        <w:rPr>
          <w:rFonts w:ascii="仿宋" w:hAnsi="仿宋" w:eastAsia="仿宋" w:cs="仿宋"/>
          <w:snapToGrid w:val="0"/>
          <w:color w:val="000000"/>
          <w:kern w:val="0"/>
          <w:sz w:val="30"/>
          <w:szCs w:val="30"/>
          <w:lang w:eastAsia="en-US"/>
        </w:rPr>
      </w:pPr>
    </w:p>
    <w:p w14:paraId="1A5B2BB0">
      <w:pPr>
        <w:keepNext w:val="0"/>
        <w:keepLines w:val="0"/>
        <w:pageBreakBefore w:val="0"/>
        <w:widowControl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97" w:line="600" w:lineRule="exact"/>
        <w:ind w:right="159" w:firstLine="608" w:firstLineChars="200"/>
        <w:jc w:val="both"/>
        <w:textAlignment w:val="baseline"/>
        <w:rPr>
          <w:rFonts w:ascii="仿宋" w:hAnsi="仿宋" w:eastAsia="仿宋" w:cs="仿宋"/>
          <w:snapToGrid w:val="0"/>
          <w:color w:val="000000"/>
          <w:spacing w:val="2"/>
          <w:kern w:val="0"/>
          <w:sz w:val="30"/>
          <w:szCs w:val="30"/>
          <w:lang w:eastAsia="en-US"/>
        </w:rPr>
      </w:pPr>
    </w:p>
    <w:p w14:paraId="3084B372">
      <w:pPr>
        <w:keepNext w:val="0"/>
        <w:keepLines w:val="0"/>
        <w:pageBreakBefore w:val="0"/>
        <w:widowControl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294" w:line="600" w:lineRule="exact"/>
        <w:ind w:left="175" w:right="46" w:firstLine="600" w:firstLineChars="200"/>
        <w:jc w:val="both"/>
        <w:textAlignment w:val="baseline"/>
        <w:rPr>
          <w:rFonts w:ascii="仿宋" w:hAnsi="仿宋" w:eastAsia="仿宋" w:cs="仿宋"/>
          <w:sz w:val="30"/>
          <w:szCs w:val="30"/>
        </w:rPr>
        <w:sectPr>
          <w:footerReference r:id="rId4" w:type="default"/>
          <w:pgSz w:w="11900" w:h="16840"/>
          <w:pgMar w:top="2098" w:right="1531" w:bottom="1757" w:left="1531" w:header="0" w:footer="1038" w:gutter="0"/>
          <w:cols w:space="720" w:num="1"/>
        </w:sectPr>
      </w:pPr>
    </w:p>
    <w:p w14:paraId="173A2EB3">
      <w:pPr>
        <w:keepNext w:val="0"/>
        <w:keepLines w:val="0"/>
        <w:pageBreakBefore w:val="0"/>
        <w:widowControl w:val="0"/>
        <w:wordWrap/>
        <w:overflowPunct/>
        <w:topLinePunct w:val="0"/>
        <w:bidi w:val="0"/>
        <w:spacing w:line="600" w:lineRule="exact"/>
        <w:ind w:firstLine="643" w:firstLineChars="200"/>
        <w:jc w:val="both"/>
        <w:rPr>
          <w:rFonts w:hint="eastAsia" w:ascii="方正仿宋_GB2312" w:hAnsi="方正仿宋_GB2312" w:eastAsia="方正仿宋_GB2312" w:cs="方正仿宋_GB2312"/>
          <w:b/>
          <w:bCs/>
          <w:kern w:val="0"/>
          <w:sz w:val="32"/>
          <w:szCs w:val="32"/>
        </w:rPr>
      </w:pPr>
    </w:p>
    <w:sectPr>
      <w:footerReference r:id="rId5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1" w:fontKey="{48ABAC57-8049-47C6-A943-19BC1D62DE3E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35748C1">
    <w:pPr>
      <w:widowControl/>
      <w:kinsoku w:val="0"/>
      <w:autoSpaceDE w:val="0"/>
      <w:autoSpaceDN w:val="0"/>
      <w:adjustRightInd w:val="0"/>
      <w:snapToGrid w:val="0"/>
      <w:spacing w:line="233" w:lineRule="auto"/>
      <w:ind w:left="7650"/>
      <w:jc w:val="left"/>
      <w:textAlignment w:val="baseline"/>
      <w:rPr>
        <w:rFonts w:ascii="宋体" w:hAnsi="宋体" w:eastAsia="宋体" w:cs="宋体"/>
        <w:snapToGrid w:val="0"/>
        <w:color w:val="000000"/>
        <w:kern w:val="0"/>
        <w:sz w:val="30"/>
        <w:szCs w:val="30"/>
        <w:lang w:eastAsia="en-US"/>
      </w:rPr>
    </w:pPr>
    <w:r>
      <w:rPr>
        <w:rFonts w:ascii="宋体" w:hAnsi="宋体" w:eastAsia="宋体" w:cs="宋体"/>
        <w:snapToGrid w:val="0"/>
        <w:color w:val="000000"/>
        <w:spacing w:val="-4"/>
        <w:kern w:val="0"/>
        <w:sz w:val="30"/>
        <w:szCs w:val="30"/>
        <w:lang w:eastAsia="en-US"/>
      </w:rPr>
      <w:t>—7—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959E161">
    <w:pPr>
      <w:widowControl/>
      <w:kinsoku w:val="0"/>
      <w:autoSpaceDE w:val="0"/>
      <w:autoSpaceDN w:val="0"/>
      <w:adjustRightInd w:val="0"/>
      <w:snapToGrid w:val="0"/>
      <w:spacing w:line="233" w:lineRule="auto"/>
      <w:ind w:left="165"/>
      <w:jc w:val="left"/>
      <w:textAlignment w:val="baseline"/>
      <w:rPr>
        <w:rFonts w:ascii="宋体" w:hAnsi="宋体" w:eastAsia="宋体" w:cs="宋体"/>
        <w:snapToGrid w:val="0"/>
        <w:color w:val="000000"/>
        <w:kern w:val="0"/>
        <w:sz w:val="30"/>
        <w:szCs w:val="30"/>
        <w:lang w:eastAsia="en-US"/>
      </w:rPr>
    </w:pPr>
    <w:r>
      <w:rPr>
        <w:rFonts w:ascii="宋体" w:hAnsi="宋体" w:eastAsia="宋体" w:cs="宋体"/>
        <w:snapToGrid w:val="0"/>
        <w:color w:val="000000"/>
        <w:spacing w:val="-3"/>
        <w:kern w:val="0"/>
        <w:sz w:val="30"/>
        <w:szCs w:val="30"/>
        <w:lang w:eastAsia="en-US"/>
      </w:rPr>
      <w:t>—6 —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6E0CB21">
    <w:pPr>
      <w:widowControl/>
      <w:kinsoku w:val="0"/>
      <w:autoSpaceDE w:val="0"/>
      <w:autoSpaceDN w:val="0"/>
      <w:adjustRightInd w:val="0"/>
      <w:snapToGrid w:val="0"/>
      <w:spacing w:line="233" w:lineRule="auto"/>
      <w:ind w:left="7650"/>
      <w:jc w:val="left"/>
      <w:textAlignment w:val="baseline"/>
      <w:rPr>
        <w:rFonts w:ascii="宋体" w:hAnsi="宋体" w:eastAsia="宋体" w:cs="宋体"/>
        <w:snapToGrid w:val="0"/>
        <w:color w:val="000000"/>
        <w:kern w:val="0"/>
        <w:sz w:val="30"/>
        <w:szCs w:val="30"/>
        <w:lang w:eastAsia="en-US"/>
      </w:rPr>
    </w:pPr>
    <w:r>
      <w:rPr>
        <w:rFonts w:ascii="宋体" w:hAnsi="宋体" w:eastAsia="宋体" w:cs="宋体"/>
        <w:snapToGrid w:val="0"/>
        <w:color w:val="000000"/>
        <w:spacing w:val="-4"/>
        <w:kern w:val="0"/>
        <w:sz w:val="30"/>
        <w:szCs w:val="30"/>
        <w:lang w:eastAsia="en-US"/>
      </w:rPr>
      <w:t>—7—</w: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EC9793A"/>
    <w:rsid w:val="4F1E4126"/>
    <w:rsid w:val="5EC9793A"/>
    <w:rsid w:val="61CD6A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footer" Target="footer3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1003</Words>
  <Characters>1007</Characters>
  <Lines>0</Lines>
  <Paragraphs>0</Paragraphs>
  <TotalTime>7</TotalTime>
  <ScaleCrop>false</ScaleCrop>
  <LinksUpToDate>false</LinksUpToDate>
  <CharactersWithSpaces>1018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2025-11-28T01:06:00Z</dcterms:created>
  <dc:creator>医保局大家庭</dc:creator>
  <cp:lastModifiedBy>医保局大家庭</cp:lastModifiedBy>
  <dcterms:modified xsi:type="dcterms:W3CDTF">2025-12-25T07:02:21Z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3F346058088346DD810884F3647DB2F5_11</vt:lpwstr>
  </property>
  <property fmtid="{D5CDD505-2E9C-101B-9397-08002B2CF9AE}" pid="4" name="KSOTemplateDocerSaveRecord">
    <vt:lpwstr>eyJoZGlkIjoiZmNlOWQzNTg5ZmNlOTkzM2Y2YTY3MjQ5NmRlZGM1YzIiLCJ1c2VySWQiOiI0NjY1MjY0MjUifQ==</vt:lpwstr>
  </property>
</Properties>
</file>