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20C68">
      <w:pPr>
        <w:keepNext w:val="0"/>
        <w:keepLines w:val="0"/>
        <w:widowControl/>
        <w:suppressLineNumbers w:val="0"/>
        <w:jc w:val="left"/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</w:p>
    <w:p w14:paraId="41A83385">
      <w:pPr>
        <w:keepNext w:val="0"/>
        <w:keepLines w:val="0"/>
        <w:widowControl/>
        <w:suppressLineNumbers w:val="0"/>
        <w:jc w:val="left"/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</w:p>
    <w:p w14:paraId="228BC7BB">
      <w:pPr>
        <w:keepNext w:val="0"/>
        <w:keepLines w:val="0"/>
        <w:widowControl/>
        <w:suppressLineNumbers w:val="0"/>
        <w:jc w:val="left"/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</w:p>
    <w:p w14:paraId="6DC8957A">
      <w:pPr>
        <w:keepNext w:val="0"/>
        <w:keepLines w:val="0"/>
        <w:widowControl/>
        <w:suppressLineNumbers w:val="0"/>
        <w:jc w:val="left"/>
        <w:rPr>
          <w:rFonts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</w:p>
    <w:p w14:paraId="226051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谢府办〔2025〕7 号</w:t>
      </w:r>
    </w:p>
    <w:p w14:paraId="66D5FA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</w:p>
    <w:p w14:paraId="5ADCE58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楷体_GB2312" w:hAnsi="宋体" w:eastAsia="楷体_GB2312" w:cs="楷体_GB2312"/>
          <w:color w:val="000000"/>
          <w:kern w:val="0"/>
          <w:sz w:val="31"/>
          <w:szCs w:val="31"/>
          <w:lang w:val="en-US" w:eastAsia="zh-CN" w:bidi="ar"/>
        </w:rPr>
      </w:pPr>
    </w:p>
    <w:p w14:paraId="66F164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谢家集区人民政府办公室关于印发</w:t>
      </w:r>
    </w:p>
    <w:p w14:paraId="30B37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仿宋_GB2312" w:hAnsi="宋体" w:eastAsia="仿宋_GB2312" w:cs="仿宋_GB2312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《谢家集区水产养殖捕捞管理办法》的通知</w:t>
      </w:r>
    </w:p>
    <w:p w14:paraId="027F96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379F2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各乡镇人民政府、街道办事处，区直各部门，淮南谢家集经济开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发区管委会： </w:t>
      </w:r>
    </w:p>
    <w:p w14:paraId="432AC8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8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《谢家集区水产养殖捕捞管理办法》已经区政府同意，现印发给你们，请认真贯彻落实。 </w:t>
      </w:r>
    </w:p>
    <w:p w14:paraId="6BBF08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0A17BF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 w14:paraId="12FE47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104" w:firstLineChars="1600"/>
        <w:jc w:val="left"/>
        <w:textAlignment w:val="auto"/>
        <w:rPr>
          <w:rFonts w:hint="default" w:ascii="Times New Roman" w:hAnsi="Times New Roman" w:eastAsia="仿宋_GB2312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2025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11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月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6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日</w:t>
      </w:r>
      <w:r>
        <w:rPr>
          <w:rFonts w:hint="eastAsia" w:eastAsia="仿宋_GB2312"/>
          <w:lang w:val="en-US" w:eastAsia="zh-CN"/>
        </w:rPr>
        <w:t xml:space="preserve">     </w:t>
      </w:r>
    </w:p>
    <w:p w14:paraId="18D8C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1EC0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3080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1E2BB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5C2D9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1F1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859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谢家集区水产养殖捕捞管理办法</w:t>
      </w:r>
    </w:p>
    <w:p w14:paraId="3A177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center"/>
        <w:textAlignment w:val="auto"/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</w:pPr>
    </w:p>
    <w:p w14:paraId="354C2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第一章 总则</w:t>
      </w:r>
    </w:p>
    <w:p w14:paraId="73ED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第一条 为加强谢家集区渔业资源的保护、增殖、开发与合理利用，维护渔业生态环境，保障渔业生产者合法权益，推动渔业高质量可持续发展，依据《中华人民共和国渔业法》《中华人民共和国水污染防治法》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《中华人民共和国农产品质量安全法》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《安徽省实施〈中华人民共和国渔业法〉办法》等法律法规，结合谢家集区实际，制定本办法。</w:t>
      </w:r>
    </w:p>
    <w:p w14:paraId="0B1E1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第二条 本办法适用于谢家集区行政区域内所有从事水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养殖与捕捞的渔业生产活动。</w:t>
      </w:r>
    </w:p>
    <w:p w14:paraId="2C6A0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第三条 区人民政府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应当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将渔业发展纳入国民经济和社会发展规划，保障渔业生产用地空间，落实财政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经费，用于渔业生产、技术推广、科研及执法监管。重点发展生态养殖、水产品加工流通、休闲渔业，推进产业化经营，提升渔业生产效率与产品质量。 </w:t>
      </w:r>
      <w:bookmarkStart w:id="0" w:name="_GoBack"/>
      <w:bookmarkEnd w:id="0"/>
    </w:p>
    <w:p w14:paraId="41FE3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第四条 区农业农村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局是全区渔业行政主管部门，履行监督管理职责；承担水产行业管理服务，负责制定发展规划、技术指导、科技攻关与成果推广。公安、生态环境、自然资源等部门按职责分工，协同做好渔业监督管理工作。</w:t>
      </w:r>
    </w:p>
    <w:p w14:paraId="6BF88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第五条 渔业生产遵循养殖为主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捕捞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并举，因地制宜、突出特色方针，推广先进适用技术，提高渔业科技水平。</w:t>
      </w:r>
    </w:p>
    <w:p w14:paraId="70E48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第二章 水域和滩涂养殖规划</w:t>
      </w:r>
    </w:p>
    <w:p w14:paraId="73EC9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第六条 区、乡（镇）人民政府需稳定水产养殖发展空间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未经法定程序，不得擅自将河流、湖泊、水库、坑塘等现状水面调整为其他用途，已调整的应有序恢复。</w:t>
      </w:r>
    </w:p>
    <w:p w14:paraId="2D264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第七条 申请从事水域滩涂养殖的单位和个人，需向属地乡（镇）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提交申请，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报区农业农村水利局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审核通过后，由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区政府核发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《水域滩涂养殖证》，养殖活动不得超出许可范围。</w:t>
      </w:r>
    </w:p>
    <w:p w14:paraId="3F7880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集体所有水域滩涂承包养殖，需经村民会议或村民代表会议同意，报乡（镇）人民政府审查备案。承包经营者经乡（镇）审查，可申请办理《水域滩涂养殖证》。 </w:t>
      </w:r>
    </w:p>
    <w:p w14:paraId="693C8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兼具调蓄、灌溉与养殖功能的水域，由区农业农村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定最低保鱼水位线。 </w:t>
      </w:r>
    </w:p>
    <w:p w14:paraId="70E01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第三章 水产养殖场申办</w:t>
      </w:r>
    </w:p>
    <w:p w14:paraId="589C9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第十条 养殖场选址需符合规划及法律法规要求，禁止在河流、水库、湖泊内围堤筑坝；严禁在永久基本农田、耕地等敏感区域违规建设养殖场。</w:t>
      </w:r>
    </w:p>
    <w:p w14:paraId="12D96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建设单位需向所在村（居）委会申请，经属地乡（镇）会审、自然资源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局复核公示无异议后，与村（居）委会签订协议，报乡（镇）备案并在自然资源一张图监管平台入库后，方可动工建设。</w:t>
      </w:r>
    </w:p>
    <w:p w14:paraId="71B6D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养殖场需实现生产区、管理区、生活区分区管理，水、电、路、渠满足生产需求，养殖水体无污染源、进排水系独立，池埂达到防渗防漏防坍塌标准，配备完善的渔业机械与尾水处理设施。工厂化养殖需保障水、电、气等基础设施正常运行，投饵机、增氧机等设备齐全可用。 </w:t>
      </w:r>
    </w:p>
    <w:p w14:paraId="17940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养殖场应依法建设管理用房，设置独立的兽药和饲料仓库（符合储备条件、清洁通风），配备并正常使用生产生活垃圾集中处理设施。 </w:t>
      </w:r>
    </w:p>
    <w:p w14:paraId="21329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第四章 渔业生产</w:t>
      </w:r>
    </w:p>
    <w:p w14:paraId="45E3B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水产苗种生产实行许可证制度，水产苗种场《水产苗种生产许可证》由区农业农村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局审核核发，自育自用水产苗种的除外。</w:t>
      </w:r>
    </w:p>
    <w:p w14:paraId="72346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养殖生产需符合国家技术规范，定期监测水质；渔用饲料需符合《饲料和饲料添加剂管理条例》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等法规要求，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防止水质污染。 </w:t>
      </w:r>
    </w:p>
    <w:p w14:paraId="53034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十六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养殖单位和个人需落实生产、用药、销售“三项记录”制度，配合开展水产品质量抽检、信息采集及疫情调查测报工作。 </w:t>
      </w:r>
    </w:p>
    <w:p w14:paraId="159EE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十七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乡（镇）官方兽医负责水产品产地检疫并出具证明，运输、销售前须完成检疫，禁止出售未经检疫或检疫不合格的水产品；经营水产苗种须附带质量合格证和检疫证明。 </w:t>
      </w:r>
    </w:p>
    <w:p w14:paraId="3D23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十八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水产养殖用药需符合《兽药管理条例》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等法规要求，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禁止使用假劣兽药、国家禁用药品及化合物，原料药不得直接用于养殖；起捕前需按规定执行休药期。</w:t>
      </w:r>
    </w:p>
    <w:p w14:paraId="1A855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第五章 安全生产</w:t>
      </w:r>
    </w:p>
    <w:p w14:paraId="28DB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十九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渔业生产单位需落实安全生产主体责任，加强员工安全法规宣传培训，强化日常管理，落实安全措施，保障生产安全。 </w:t>
      </w:r>
    </w:p>
    <w:p w14:paraId="72304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第二十条 渔业船舶所有人或经营人是安全生产第一责任人，需保障安全投入，建立健全责任制，按规定配备船员和安全设备，确保船舶适航，保障船员充足休息时间。 </w:t>
      </w:r>
    </w:p>
    <w:p w14:paraId="50795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第二十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渔业船舶所有人或经营人须持有渔政、渔船检验机构核发的船舶证书；船舶需配备有效安全设施，持证行驶，不得从事经营性客运；经检验合格后方可使用。 </w:t>
      </w:r>
    </w:p>
    <w:p w14:paraId="0A465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第六章 渔业资源和环境保护</w:t>
      </w:r>
    </w:p>
    <w:p w14:paraId="713B7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第二十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养殖生产需保护水域生态，科学确定养殖密度，合理投饵、施肥、用药，避免造成环境污染。 </w:t>
      </w:r>
    </w:p>
    <w:p w14:paraId="0BB27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第二十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严格落实禁渔区、禁渔期制度，淮河干流谢家集段等禁渔区禁渔期内禁止捕捞和垂钓。开展水生生物增殖放流，重点保护水库等水体的重要经济渔业品种。禁止捕捞、收购、销售未达可捕标准的水生动物。 </w:t>
      </w:r>
    </w:p>
    <w:p w14:paraId="4D081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禁止使用炸鱼、毒鱼、电鱼等破坏资源与生态的捕捞方式；捕捞不得损害其他生物资源，增殖渔业需使用专用渔具渔法。禁止使用多层拦网、闸口套网、拦河罾、深水张网（淮河）等破坏性渔具及方法。 </w:t>
      </w:r>
    </w:p>
    <w:p w14:paraId="4591C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禁止在行洪、排涝、输水河道、渠道内设置影响行水的捕鱼设施；禁止在航道内设置渔具。 </w:t>
      </w:r>
    </w:p>
    <w:p w14:paraId="24C0B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采捕天然生长和人工增殖水生动植物的单位和个人，需依法缴纳渔业资源增殖保护费，具体按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上级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规定执行。</w:t>
      </w:r>
    </w:p>
    <w:p w14:paraId="743A0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一级水源地管理范围内禁止开展渔事活动；限养区内禁止投肥（粪）投饵养殖、人工种植芡实等，禁止围网拦网网箱养殖。 </w:t>
      </w:r>
    </w:p>
    <w:p w14:paraId="74790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养殖企业需配备符合要求的尾水处理设施，尾水需达标排放，符合安徽省《水产养殖业水污染物排放标准》。 </w:t>
      </w:r>
    </w:p>
    <w:p w14:paraId="43EEF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二十九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工厂化养殖需采用物理净化（过滤、沉淀）和生物净化（硝化、活性污泥等）技术处理尾水，支持循环水养殖；池塘养殖集中区域需集中处理尾水，配置人工湿地、生态沟渠或净化塘系统。 </w:t>
      </w:r>
    </w:p>
    <w:p w14:paraId="28DB9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第七章 监督管理</w:t>
      </w:r>
    </w:p>
    <w:p w14:paraId="3F1DC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各职能部门按以下职责开展工作： </w:t>
      </w:r>
    </w:p>
    <w:p w14:paraId="1ABD0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区农业农村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局：牵头编制修订养殖水域滩涂规划，落实惠渔政策，开展技术指导与培训，指导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科学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养殖及疫病防治，协助禁渔、证件审核、增殖放流等工作，配合执法监管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查处渔事案件，监管兽药、饲料等投入品使用，核发苗种生产、捕捞、养殖等许可证，落实禁渔制度，履行水污染防治法赋予职责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协调养殖用水，查处破坏防洪堤坝、违规占用河湖岸线行为。</w:t>
      </w:r>
    </w:p>
    <w:p w14:paraId="0B8E9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生态环境分局：负责养殖业污染防治监管，审批养殖场环评，指导面源污染治理，开展生态环保执法检查。</w:t>
      </w:r>
    </w:p>
    <w:p w14:paraId="2CDC7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自然资源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局：保障渔业生产空间，认定水域滩涂地类性质，支持设施渔业用地。</w:t>
      </w:r>
    </w:p>
    <w:p w14:paraId="21D1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局：配合渔政执法，从严处罚阻挠执法、破坏资源等行为，构成犯罪的追究刑事责任。</w:t>
      </w:r>
    </w:p>
    <w:p w14:paraId="76D05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相关乡（镇）：落实属地管理责任，负责辖区渔业生产、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受理申请、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安全检查、矛盾化解，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定期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开展水域巡查，配合部门查处违规行为。</w:t>
      </w:r>
    </w:p>
    <w:p w14:paraId="0F2FD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第八章 扶持措施</w:t>
      </w:r>
    </w:p>
    <w:p w14:paraId="06D8B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三十一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鼓励利用荒滩、荒水等未利用及低效闲置水域滩涂开展养殖，支持集体水域滩涂经营权主体申办养殖证以享受惠渔政策，试点发展休闲渔业。</w:t>
      </w:r>
    </w:p>
    <w:p w14:paraId="559FA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三十二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整合中央、省级渔业绿色发展补助资金及乡村振兴衔接资金，对符合条件的新建/改造养殖基地、稻渔综合种养基地、设施渔业及水产加工企业予以奖补。 </w:t>
      </w:r>
    </w:p>
    <w:p w14:paraId="0A9CB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三十三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区发改委、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农业农村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局、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科技局、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财政局等部门在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渔业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项目申报、创新奖励、资金扶持等方面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予以支持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。 </w:t>
      </w:r>
    </w:p>
    <w:p w14:paraId="4C8C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三十四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支持打造“三品一标”渔业品牌，培育龙头企业；鼓励保险机构扩大水产养殖保险范围，支持养殖主体投保。 </w:t>
      </w:r>
    </w:p>
    <w:p w14:paraId="56BAF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第九章 附则</w:t>
      </w:r>
    </w:p>
    <w:p w14:paraId="05C2D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三十五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条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法律法规、规章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或上级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党委、政府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、主管部门有其他规定的，从其规定。 </w:t>
      </w:r>
    </w:p>
    <w:p w14:paraId="4330B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三十六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本办法由区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农业农村水利局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负责解释。 </w:t>
      </w:r>
    </w:p>
    <w:p w14:paraId="608CE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三十七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条 本办法自公布之日起30日后施行。</w:t>
      </w:r>
    </w:p>
    <w:p w14:paraId="5C529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20" w:firstLineChars="200"/>
        <w:textAlignment w:val="auto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 xml:space="preserve"> </w:t>
      </w:r>
    </w:p>
    <w:sectPr>
      <w:footerReference r:id="rId3" w:type="default"/>
      <w:pgSz w:w="11906" w:h="16838"/>
      <w:pgMar w:top="2098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821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D85C4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D85C44">
                    <w:pPr>
                      <w:pStyle w:val="2"/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64815"/>
    <w:rsid w:val="009A5BAD"/>
    <w:rsid w:val="06381816"/>
    <w:rsid w:val="0C4B5C57"/>
    <w:rsid w:val="0C6D2071"/>
    <w:rsid w:val="1457788F"/>
    <w:rsid w:val="24381B37"/>
    <w:rsid w:val="26946721"/>
    <w:rsid w:val="28CB21A2"/>
    <w:rsid w:val="2F0F103A"/>
    <w:rsid w:val="36D84407"/>
    <w:rsid w:val="422E2D42"/>
    <w:rsid w:val="43D47CE4"/>
    <w:rsid w:val="44187D3B"/>
    <w:rsid w:val="48D37230"/>
    <w:rsid w:val="4EEE3BC4"/>
    <w:rsid w:val="51264815"/>
    <w:rsid w:val="51D625FC"/>
    <w:rsid w:val="542E1CF9"/>
    <w:rsid w:val="595251F6"/>
    <w:rsid w:val="59F34F31"/>
    <w:rsid w:val="6B2705C0"/>
    <w:rsid w:val="6C9A59BC"/>
    <w:rsid w:val="75271ADB"/>
    <w:rsid w:val="787C603B"/>
    <w:rsid w:val="7A1A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2898</Words>
  <Characters>2899</Characters>
  <Lines>0</Lines>
  <Paragraphs>0</Paragraphs>
  <TotalTime>85</TotalTime>
  <ScaleCrop>false</ScaleCrop>
  <LinksUpToDate>false</LinksUpToDate>
  <CharactersWithSpaces>2970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2025-09-05T05:43:00Z</dcterms:created>
  <dc:creator>梦魇</dc:creator>
  <cp:lastModifiedBy>Kookie</cp:lastModifiedBy>
  <dcterms:modified xsi:type="dcterms:W3CDTF">2026-01-23T08:37:40Z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1F199119C6DF4F28A3A9A3EE2FD0CD84_13</vt:lpwstr>
  </property>
  <property fmtid="{D5CDD505-2E9C-101B-9397-08002B2CF9AE}" pid="4" name="KSOTemplateDocerSaveRecord">
    <vt:lpwstr>eyJoZGlkIjoiYTM4ODgzNzA2NWYxODgzMTQwZWUwYWMxM2JiOWRlNzUiLCJ1c2VySWQiOiIzNzc3MTI0MzEifQ==</vt:lpwstr>
  </property>
</Properties>
</file>