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3B71B">
      <w:pPr>
        <w:pStyle w:val="2"/>
        <w:keepNext w:val="0"/>
        <w:keepLines w:val="0"/>
        <w:pageBreakBefore w:val="0"/>
        <w:widowControl w:val="0"/>
        <w:kinsoku/>
        <w:wordWrap/>
        <w:overflowPunct/>
        <w:topLinePunct w:val="0"/>
        <w:autoSpaceDE/>
        <w:autoSpaceDN/>
        <w:bidi w:val="0"/>
        <w:spacing w:line="560" w:lineRule="exact"/>
        <w:ind w:left="0" w:leftChars="0" w:firstLine="0" w:firstLineChars="0"/>
        <w:jc w:val="center"/>
        <w:textAlignment w:val="auto"/>
        <w:rPr>
          <w:rStyle w:val="5"/>
          <w:rFonts w:hint="eastAsia" w:ascii="方正小标宋简体" w:hAnsi="方正小标宋简体" w:eastAsia="方正小标宋简体" w:cs="方正小标宋简体"/>
          <w:b w:val="0"/>
          <w:bCs w:val="0"/>
          <w:i w:val="0"/>
          <w:iCs w:val="0"/>
          <w:caps w:val="0"/>
          <w:color w:val="auto"/>
          <w:spacing w:val="0"/>
          <w:sz w:val="44"/>
          <w:szCs w:val="44"/>
          <w:u w:val="none"/>
        </w:rPr>
      </w:pPr>
      <w:r>
        <w:rPr>
          <w:rFonts w:hint="eastAsia" w:ascii="方正小标宋简体" w:hAnsi="方正小标宋简体" w:eastAsia="方正小标宋简体" w:cs="方正小标宋简体"/>
          <w:b w:val="0"/>
          <w:bCs w:val="0"/>
          <w:i w:val="0"/>
          <w:iCs w:val="0"/>
          <w:caps w:val="0"/>
          <w:color w:val="auto"/>
          <w:spacing w:val="0"/>
          <w:sz w:val="44"/>
          <w:szCs w:val="44"/>
          <w:u w:val="none"/>
        </w:rPr>
        <w:fldChar w:fldCharType="begin"/>
      </w:r>
      <w:r>
        <w:rPr>
          <w:rFonts w:hint="eastAsia" w:ascii="方正小标宋简体" w:hAnsi="方正小标宋简体" w:eastAsia="方正小标宋简体" w:cs="方正小标宋简体"/>
          <w:b w:val="0"/>
          <w:bCs w:val="0"/>
          <w:i w:val="0"/>
          <w:iCs w:val="0"/>
          <w:caps w:val="0"/>
          <w:color w:val="auto"/>
          <w:spacing w:val="0"/>
          <w:sz w:val="44"/>
          <w:szCs w:val="44"/>
          <w:u w:val="none"/>
        </w:rPr>
        <w:instrText xml:space="preserve"> HYPERLINK "https://www.huainan.gov.cn/public/118323085/1259286517.html" \o "谢家集区司法局2021年法治政府建设报告" \t "https://www.xiejiaji.gov.cn/site/search/_blank" </w:instrText>
      </w:r>
      <w:r>
        <w:rPr>
          <w:rFonts w:hint="eastAsia" w:ascii="方正小标宋简体" w:hAnsi="方正小标宋简体" w:eastAsia="方正小标宋简体" w:cs="方正小标宋简体"/>
          <w:b w:val="0"/>
          <w:bCs w:val="0"/>
          <w:i w:val="0"/>
          <w:iCs w:val="0"/>
          <w:caps w:val="0"/>
          <w:color w:val="auto"/>
          <w:spacing w:val="0"/>
          <w:sz w:val="44"/>
          <w:szCs w:val="44"/>
          <w:u w:val="none"/>
        </w:rPr>
        <w:fldChar w:fldCharType="separate"/>
      </w:r>
      <w:r>
        <w:rPr>
          <w:rStyle w:val="5"/>
          <w:rFonts w:hint="eastAsia" w:ascii="方正小标宋简体" w:hAnsi="方正小标宋简体" w:eastAsia="方正小标宋简体" w:cs="方正小标宋简体"/>
          <w:b w:val="0"/>
          <w:bCs w:val="0"/>
          <w:i w:val="0"/>
          <w:iCs w:val="0"/>
          <w:caps w:val="0"/>
          <w:color w:val="auto"/>
          <w:spacing w:val="0"/>
          <w:sz w:val="44"/>
          <w:szCs w:val="44"/>
          <w:u w:val="none"/>
        </w:rPr>
        <w:t>谢家集区司法局</w:t>
      </w:r>
      <w:r>
        <w:rPr>
          <w:rStyle w:val="5"/>
          <w:rFonts w:hint="eastAsia" w:ascii="方正小标宋简体" w:hAnsi="方正小标宋简体" w:eastAsia="方正小标宋简体" w:cs="方正小标宋简体"/>
          <w:b w:val="0"/>
          <w:bCs w:val="0"/>
          <w:i w:val="0"/>
          <w:iCs w:val="0"/>
          <w:caps w:val="0"/>
          <w:color w:val="auto"/>
          <w:spacing w:val="0"/>
          <w:sz w:val="44"/>
          <w:szCs w:val="44"/>
          <w:u w:val="none"/>
          <w:lang w:eastAsia="zh-CN"/>
        </w:rPr>
        <w:t>关于</w:t>
      </w:r>
      <w:r>
        <w:rPr>
          <w:rStyle w:val="5"/>
          <w:rFonts w:hint="eastAsia" w:ascii="方正小标宋简体" w:hAnsi="方正小标宋简体" w:eastAsia="方正小标宋简体" w:cs="方正小标宋简体"/>
          <w:b w:val="0"/>
          <w:bCs w:val="0"/>
          <w:i w:val="0"/>
          <w:iCs w:val="0"/>
          <w:caps w:val="0"/>
          <w:color w:val="auto"/>
          <w:spacing w:val="0"/>
          <w:sz w:val="44"/>
          <w:szCs w:val="44"/>
          <w:u w:val="none"/>
        </w:rPr>
        <w:t>202</w:t>
      </w:r>
      <w:r>
        <w:rPr>
          <w:rStyle w:val="5"/>
          <w:rFonts w:hint="eastAsia" w:ascii="方正小标宋简体" w:hAnsi="方正小标宋简体" w:eastAsia="方正小标宋简体" w:cs="方正小标宋简体"/>
          <w:b w:val="0"/>
          <w:bCs w:val="0"/>
          <w:i w:val="0"/>
          <w:iCs w:val="0"/>
          <w:caps w:val="0"/>
          <w:color w:val="auto"/>
          <w:spacing w:val="0"/>
          <w:sz w:val="44"/>
          <w:szCs w:val="44"/>
          <w:u w:val="none"/>
          <w:lang w:val="en-US" w:eastAsia="zh-CN"/>
        </w:rPr>
        <w:t>5</w:t>
      </w:r>
      <w:r>
        <w:rPr>
          <w:rStyle w:val="5"/>
          <w:rFonts w:hint="eastAsia" w:ascii="方正小标宋简体" w:hAnsi="方正小标宋简体" w:eastAsia="方正小标宋简体" w:cs="方正小标宋简体"/>
          <w:b w:val="0"/>
          <w:bCs w:val="0"/>
          <w:i w:val="0"/>
          <w:iCs w:val="0"/>
          <w:caps w:val="0"/>
          <w:color w:val="auto"/>
          <w:spacing w:val="0"/>
          <w:sz w:val="44"/>
          <w:szCs w:val="44"/>
          <w:u w:val="none"/>
        </w:rPr>
        <w:t>年法治政府建设</w:t>
      </w:r>
    </w:p>
    <w:p w14:paraId="0E8C5BE0">
      <w:pPr>
        <w:pStyle w:val="2"/>
        <w:keepNext w:val="0"/>
        <w:keepLines w:val="0"/>
        <w:pageBreakBefore w:val="0"/>
        <w:widowControl w:val="0"/>
        <w:kinsoku/>
        <w:wordWrap/>
        <w:overflowPunct/>
        <w:topLinePunct w:val="0"/>
        <w:autoSpaceDE/>
        <w:autoSpaceDN/>
        <w:bidi w:val="0"/>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u w:val="none"/>
        </w:rPr>
      </w:pPr>
      <w:r>
        <w:rPr>
          <w:rStyle w:val="5"/>
          <w:rFonts w:hint="eastAsia" w:ascii="方正小标宋简体" w:hAnsi="方正小标宋简体" w:eastAsia="方正小标宋简体" w:cs="方正小标宋简体"/>
          <w:b w:val="0"/>
          <w:bCs w:val="0"/>
          <w:i w:val="0"/>
          <w:iCs w:val="0"/>
          <w:caps w:val="0"/>
          <w:color w:val="auto"/>
          <w:spacing w:val="0"/>
          <w:sz w:val="44"/>
          <w:szCs w:val="44"/>
          <w:u w:val="none"/>
          <w:lang w:eastAsia="zh-CN"/>
        </w:rPr>
        <w:t>情况的</w:t>
      </w:r>
      <w:r>
        <w:rPr>
          <w:rStyle w:val="5"/>
          <w:rFonts w:hint="eastAsia" w:ascii="方正小标宋简体" w:hAnsi="方正小标宋简体" w:eastAsia="方正小标宋简体" w:cs="方正小标宋简体"/>
          <w:b w:val="0"/>
          <w:bCs w:val="0"/>
          <w:i w:val="0"/>
          <w:iCs w:val="0"/>
          <w:caps w:val="0"/>
          <w:color w:val="auto"/>
          <w:spacing w:val="0"/>
          <w:sz w:val="44"/>
          <w:szCs w:val="44"/>
          <w:u w:val="none"/>
        </w:rPr>
        <w:t>报告</w:t>
      </w:r>
      <w:r>
        <w:rPr>
          <w:rFonts w:hint="eastAsia" w:ascii="方正小标宋简体" w:hAnsi="方正小标宋简体" w:eastAsia="方正小标宋简体" w:cs="方正小标宋简体"/>
          <w:b w:val="0"/>
          <w:bCs w:val="0"/>
          <w:i w:val="0"/>
          <w:iCs w:val="0"/>
          <w:caps w:val="0"/>
          <w:color w:val="auto"/>
          <w:spacing w:val="0"/>
          <w:sz w:val="44"/>
          <w:szCs w:val="44"/>
          <w:u w:val="none"/>
        </w:rPr>
        <w:fldChar w:fldCharType="end"/>
      </w:r>
    </w:p>
    <w:p w14:paraId="2EAE423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区委、区政府：</w:t>
      </w:r>
    </w:p>
    <w:p w14:paraId="11B0AD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eastAsia="zh-CN"/>
        </w:rPr>
        <w:t>谢家集</w:t>
      </w:r>
      <w:r>
        <w:rPr>
          <w:rFonts w:hint="eastAsia" w:ascii="仿宋_GB2312" w:hAnsi="仿宋_GB2312" w:eastAsia="仿宋_GB2312" w:cs="仿宋_GB2312"/>
          <w:sz w:val="32"/>
          <w:szCs w:val="32"/>
        </w:rPr>
        <w:t>区司法局坚持以习近平新时代中国特色社会主义思想为指导，深入贯彻落实习近平法治思想，紧扣法治政府建设重点任务，立足司法行政职能，强化责任担当、狠抓工作落实，以高质量法治服务护航全区经济社会高质量发展，各项工作取得阶段性成效。现将本年度法治政府建设工作情况报告如下</w:t>
      </w:r>
      <w:r>
        <w:rPr>
          <w:rFonts w:hint="eastAsia" w:ascii="仿宋_GB2312" w:hAnsi="仿宋_GB2312" w:eastAsia="仿宋_GB2312" w:cs="仿宋_GB2312"/>
          <w:sz w:val="32"/>
          <w:szCs w:val="32"/>
          <w:lang w:eastAsia="zh-CN"/>
        </w:rPr>
        <w:t>。</w:t>
      </w:r>
    </w:p>
    <w:p w14:paraId="6D3A10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bookmarkStart w:id="0" w:name="heading_0"/>
      <w:r>
        <w:rPr>
          <w:rFonts w:hint="eastAsia" w:ascii="黑体" w:hAnsi="黑体" w:eastAsia="黑体" w:cs="黑体"/>
          <w:sz w:val="32"/>
          <w:szCs w:val="32"/>
        </w:rPr>
        <w:t>一、主要举措和成效</w:t>
      </w:r>
      <w:bookmarkEnd w:id="0"/>
    </w:p>
    <w:p w14:paraId="498B84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1" w:name="heading_1"/>
      <w:r>
        <w:rPr>
          <w:rFonts w:hint="eastAsia" w:ascii="楷体_GB2312" w:hAnsi="楷体_GB2312" w:eastAsia="楷体_GB2312" w:cs="楷体_GB2312"/>
          <w:sz w:val="32"/>
          <w:szCs w:val="32"/>
        </w:rPr>
        <w:t>（一）强化党建引领，筑牢法治建设政治根基</w:t>
      </w:r>
      <w:bookmarkEnd w:id="1"/>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坚持把党建工作贯穿法治政府建设全过程，推动党建与业务深度融合。一是深化理论武装，严格落实“第一议题”制度，采取“领学+讲学+导学+研学+自学”模式，及时跟进学习习近平总书记重要讲话和重要指示批示精神，开展研讨交流13场次，党员干部撰写学习心得200余篇，切实把学习成果转化为法治建设实践动力。二是严肃政治生活，全面落实“三会一课”、组织生活会、民主评议党员等制度，召开支部委员会13次、主题党日活动12次、党课4次，不断提升党组织凝聚力和战斗力。三是推进作风建设，锲而不舍落实中央八项规定及其实施细则精神，开展明察暗访20余次，及时通报整改发现问题，筑牢党员干部纪律防线。四是深化党建业务融合，秉持“党建引领、业务融合、法治惠民”思路，打造“红心向党筑梦行 五彩司法聚合力”党建品牌，推动党建与法律服务、人民调解、普法教育深度衔接，区司法局党支部获评区先进基层党组织。</w:t>
      </w:r>
    </w:p>
    <w:p w14:paraId="223370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2" w:name="heading_2"/>
      <w:r>
        <w:rPr>
          <w:rFonts w:hint="eastAsia" w:ascii="楷体_GB2312" w:hAnsi="楷体_GB2312" w:eastAsia="楷体_GB2312" w:cs="楷体_GB2312"/>
          <w:sz w:val="32"/>
          <w:szCs w:val="32"/>
        </w:rPr>
        <w:t>（二）健全法治机制，提升依法决策水平</w:t>
      </w:r>
      <w:bookmarkEnd w:id="2"/>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聚焦法治政府建设核心环节，不断完善制度体系，规范决策程序。一是强化法治引领作用，召开</w:t>
      </w:r>
      <w:r>
        <w:rPr>
          <w:rFonts w:hint="eastAsia" w:ascii="仿宋_GB2312" w:hAnsi="仿宋_GB2312" w:eastAsia="仿宋_GB2312" w:cs="仿宋_GB2312"/>
          <w:sz w:val="32"/>
          <w:szCs w:val="32"/>
          <w:lang w:eastAsia="zh-CN"/>
        </w:rPr>
        <w:t>谢家集</w:t>
      </w:r>
      <w:r>
        <w:rPr>
          <w:rFonts w:hint="eastAsia" w:ascii="仿宋_GB2312" w:hAnsi="仿宋_GB2312" w:eastAsia="仿宋_GB2312" w:cs="仿宋_GB2312"/>
          <w:sz w:val="32"/>
          <w:szCs w:val="32"/>
        </w:rPr>
        <w:t>区2024年度领导干部专题述法评议会，6家单位主要负责人现场述法，46家党委部门、职能部门主要负责人完成书面述法，推动领导干部带头尊法学法守法用法。二是落实法治建设报告制度，督促全区37家乡镇街道及区直部门，于4月1日前完成2024年法治政府建设情况报告并在政府官网公示，主动接受社会监督。三是规范行政决策管理，印发《</w:t>
      </w:r>
      <w:r>
        <w:rPr>
          <w:rFonts w:hint="eastAsia" w:ascii="仿宋_GB2312" w:hAnsi="仿宋_GB2312" w:eastAsia="仿宋_GB2312" w:cs="仿宋_GB2312"/>
          <w:sz w:val="32"/>
          <w:szCs w:val="32"/>
          <w:lang w:eastAsia="zh-CN"/>
        </w:rPr>
        <w:t>谢家集</w:t>
      </w:r>
      <w:r>
        <w:rPr>
          <w:rFonts w:hint="eastAsia" w:ascii="仿宋_GB2312" w:hAnsi="仿宋_GB2312" w:eastAsia="仿宋_GB2312" w:cs="仿宋_GB2312"/>
          <w:sz w:val="32"/>
          <w:szCs w:val="32"/>
        </w:rPr>
        <w:t>区司法局关于做好行政规范性文件“三统一”工作的通知》《</w:t>
      </w:r>
      <w:r>
        <w:rPr>
          <w:rFonts w:hint="eastAsia" w:ascii="仿宋_GB2312" w:hAnsi="仿宋_GB2312" w:eastAsia="仿宋_GB2312" w:cs="仿宋_GB2312"/>
          <w:sz w:val="32"/>
          <w:szCs w:val="32"/>
          <w:lang w:eastAsia="zh-CN"/>
        </w:rPr>
        <w:t>谢家集</w:t>
      </w:r>
      <w:r>
        <w:rPr>
          <w:rFonts w:hint="eastAsia" w:ascii="仿宋_GB2312" w:hAnsi="仿宋_GB2312" w:eastAsia="仿宋_GB2312" w:cs="仿宋_GB2312"/>
          <w:sz w:val="32"/>
          <w:szCs w:val="32"/>
        </w:rPr>
        <w:t>区规范性文件清理办法》，建立“月报+核查”机制，全年审查乡镇街道合同（协议）、重大决策等涉法事项42件，确保行政决策合法合规。四是强化统筹部署，召开区委全面依法治区委员会第九次会议，传达落实市委相关会议精神，部署深化法治政府建设、优化法治化营商环境等重点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健全“府院联动”“府检联动”机制，审议通过相关联动会商机制，推动行政与司法协同发力。</w:t>
      </w:r>
    </w:p>
    <w:p w14:paraId="5C34CE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3" w:name="heading_3"/>
      <w:r>
        <w:rPr>
          <w:rFonts w:hint="eastAsia" w:ascii="楷体_GB2312" w:hAnsi="楷体_GB2312" w:eastAsia="楷体_GB2312" w:cs="楷体_GB2312"/>
          <w:sz w:val="32"/>
          <w:szCs w:val="32"/>
        </w:rPr>
        <w:t>（三）规范执法行为，推进依法行政落地</w:t>
      </w:r>
      <w:bookmarkEnd w:id="3"/>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以规范行政执法为抓手，不断提升行政执法规范化水平。一是严把执法队伍“准入关”，举办乡镇（街道）和区直部门行政执法资格认证预考6次，在2025年全省行政执法人员资格认证考试中，67人通过考试，通过率达98.5%，较去年提升51.8个百分点，夯实行政执法队伍基础。二是强化行政应诉工作，全面落实行政机关负责人出庭应诉机制，行政机关负责人出庭应诉率100%，主要负责人出庭应诉率75%，位居全市前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全年办结行政诉讼案件188件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编制《</w:t>
      </w:r>
      <w:r>
        <w:rPr>
          <w:rFonts w:hint="eastAsia" w:ascii="仿宋_GB2312" w:hAnsi="仿宋_GB2312" w:eastAsia="仿宋_GB2312" w:cs="仿宋_GB2312"/>
          <w:sz w:val="32"/>
          <w:szCs w:val="32"/>
          <w:lang w:eastAsia="zh-CN"/>
        </w:rPr>
        <w:t>谢家集</w:t>
      </w:r>
      <w:r>
        <w:rPr>
          <w:rFonts w:hint="eastAsia" w:ascii="仿宋_GB2312" w:hAnsi="仿宋_GB2312" w:eastAsia="仿宋_GB2312" w:cs="仿宋_GB2312"/>
          <w:sz w:val="32"/>
          <w:szCs w:val="32"/>
        </w:rPr>
        <w:t>区依法行政工作手册》《行政诉讼典型案例》，梳理败诉案件根源，提出整改措施，倒逼执法行为规范。三是规范涉企行政执法，印发</w:t>
      </w:r>
      <w:r>
        <w:rPr>
          <w:rFonts w:hint="eastAsia" w:ascii="仿宋_GB2312" w:hAnsi="仿宋_GB2312" w:eastAsia="仿宋_GB2312" w:cs="仿宋_GB2312"/>
          <w:sz w:val="32"/>
          <w:szCs w:val="32"/>
          <w:lang w:eastAsia="zh-CN"/>
        </w:rPr>
        <w:t>《谢家集区</w:t>
      </w:r>
      <w:r>
        <w:rPr>
          <w:rFonts w:hint="eastAsia" w:ascii="仿宋_GB2312" w:hAnsi="仿宋_GB2312" w:eastAsia="仿宋_GB2312" w:cs="仿宋_GB2312"/>
          <w:sz w:val="32"/>
          <w:szCs w:val="32"/>
        </w:rPr>
        <w:t>全面推进“综合查一次”工作实施方案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，录入上报99项涉企行政检查事项及69个年度检查计划，切实减轻企业迎检负担，优化法治化营商环境。</w:t>
      </w:r>
    </w:p>
    <w:p w14:paraId="7D3B3B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4" w:name="heading_4"/>
      <w:r>
        <w:rPr>
          <w:rFonts w:hint="eastAsia" w:ascii="楷体_GB2312" w:hAnsi="楷体_GB2312" w:eastAsia="楷体_GB2312" w:cs="楷体_GB2312"/>
          <w:sz w:val="32"/>
          <w:szCs w:val="32"/>
        </w:rPr>
        <w:t>（四）防范化解风险，筑牢社会安全法治防线</w:t>
      </w:r>
      <w:bookmarkEnd w:id="4"/>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聚焦重点领域风险防控，全力维护社会和谐稳定。一是推进社区矫正规范化建设，完成区社区矫正中心标准化建设并投入使用，开展10场特色教育帮扶活动和10次突击查访，全区在册社区矫正对象无脱漏管情况，安全形势总体稳定，接待多批次调研参观，提升工作知晓度。二是抓实安置帮教工作，严格落实“必接必送”机制，召开安置帮教工作联席会议2次，联动开展职业技能培训，助力帮教对象融入社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国安帮系统中，核查率、衔接率、帮教率、帮助就业率均达100%。三是强化人民调解工作，新建商会调解委员会，实现11个乡镇（街道）、92个村（社区）人民调解组织全覆盖；全年调解矛盾纠纷3394件，调解成功率达99%，“</w:t>
      </w:r>
      <w:r>
        <w:rPr>
          <w:rFonts w:hint="eastAsia" w:ascii="仿宋_GB2312" w:hAnsi="仿宋_GB2312" w:eastAsia="仿宋_GB2312" w:cs="仿宋_GB2312"/>
          <w:sz w:val="32"/>
          <w:szCs w:val="32"/>
          <w:lang w:eastAsia="zh-CN"/>
        </w:rPr>
        <w:t>谢大姐</w:t>
      </w:r>
      <w:r>
        <w:rPr>
          <w:rFonts w:hint="eastAsia" w:ascii="仿宋_GB2312" w:hAnsi="仿宋_GB2312" w:eastAsia="仿宋_GB2312" w:cs="仿宋_GB2312"/>
          <w:sz w:val="32"/>
          <w:szCs w:val="32"/>
        </w:rPr>
        <w:t>”调解工作室获评全省基层治理典型案例和省级婚姻家庭纠纷调解室称号。</w:t>
      </w:r>
      <w:bookmarkStart w:id="12" w:name="_GoBack"/>
      <w:bookmarkEnd w:id="12"/>
    </w:p>
    <w:p w14:paraId="0775F9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5" w:name="heading_5"/>
      <w:r>
        <w:rPr>
          <w:rFonts w:hint="eastAsia" w:ascii="楷体_GB2312" w:hAnsi="楷体_GB2312" w:eastAsia="楷体_GB2312" w:cs="楷体_GB2312"/>
          <w:sz w:val="32"/>
          <w:szCs w:val="32"/>
        </w:rPr>
        <w:t>（五）深化法治惠民，提升公共法律服务质效</w:t>
      </w:r>
      <w:bookmarkEnd w:id="5"/>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坚持以人民为中心，不断拓展法律服务领域，增强群众法治获得感。一是推进法律援助便民化，全年受理法律援助案件399件，为166名农民工、14名残疾人、59名老年人、83名妇女、24名未成年人提供法律援助，接待法律咨询1500余人次，切实维护困难群体合法权益。二是深化普法宣传教育，落实“谁执法、谁普法”责任制，开展普法宣传300余次，发放宣传资料15000余份，在各级媒体发布宣传信息300余篇，其中6篇被省司法厅网站采用，新建“总体国家安全观”法治公园1处，推动法治观念深入人心。三是加强公共法律服务队伍建设，组织40余名法援律师、村居法律顾问开展业务培训，深化“1名村（居）法律顾问+N名法律明白人”行动，开展法律咨询、法治讲座等活动50余次，提升基层法律服务能力。</w:t>
      </w:r>
    </w:p>
    <w:p w14:paraId="09221D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bookmarkStart w:id="6" w:name="heading_6"/>
      <w:r>
        <w:rPr>
          <w:rFonts w:hint="eastAsia" w:ascii="黑体" w:hAnsi="黑体" w:eastAsia="黑体" w:cs="黑体"/>
          <w:sz w:val="32"/>
          <w:szCs w:val="32"/>
        </w:rPr>
        <w:t>二、存在的不足</w:t>
      </w:r>
      <w:bookmarkEnd w:id="6"/>
    </w:p>
    <w:p w14:paraId="7F6F59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一是法治宣传教育的针对性和实效性仍需提升</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普法形式仍偏传统，针对重点人群、重点领域的精准普法力度不足，群众主动学法用法的积极性有待进一步激发</w:t>
      </w:r>
      <w:r>
        <w:rPr>
          <w:rFonts w:hint="eastAsia" w:ascii="仿宋_GB2312" w:hAnsi="仿宋_GB2312" w:eastAsia="仿宋_GB2312" w:cs="仿宋_GB2312"/>
          <w:sz w:val="32"/>
          <w:szCs w:val="32"/>
          <w:lang w:eastAsia="zh-CN"/>
        </w:rPr>
        <w:t>。</w:t>
      </w:r>
    </w:p>
    <w:p w14:paraId="768111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二是行政执法规范化水平仍有提升空间</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部分行政执法人员业务能力不足，执法流程衔接不够顺畅，“综合查一次”工作的深度和广度仍需拓展</w:t>
      </w:r>
      <w:r>
        <w:rPr>
          <w:rFonts w:hint="eastAsia" w:ascii="仿宋_GB2312" w:hAnsi="仿宋_GB2312" w:eastAsia="仿宋_GB2312" w:cs="仿宋_GB2312"/>
          <w:sz w:val="32"/>
          <w:szCs w:val="32"/>
          <w:lang w:eastAsia="zh-CN"/>
        </w:rPr>
        <w:t>。</w:t>
      </w:r>
    </w:p>
    <w:p w14:paraId="45AEFA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三是公共法律服务供给不均衡</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基层法律服务资源相对薄弱，村居法律顾问服务频次和质量有待提高，难以完全满足群众多样化法律服务需求</w:t>
      </w:r>
      <w:r>
        <w:rPr>
          <w:rFonts w:hint="eastAsia" w:ascii="仿宋_GB2312" w:hAnsi="仿宋_GB2312" w:eastAsia="仿宋_GB2312" w:cs="仿宋_GB2312"/>
          <w:sz w:val="32"/>
          <w:szCs w:val="32"/>
          <w:lang w:eastAsia="zh-CN"/>
        </w:rPr>
        <w:t>。</w:t>
      </w:r>
    </w:p>
    <w:p w14:paraId="48815C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是法治队伍建设力度需进一步加大</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基层司法行政人员力量不足，业务培训的针对性和实效性有待增强，“传帮带”机制作用发挥不够充分。</w:t>
      </w:r>
    </w:p>
    <w:p w14:paraId="3C48EE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bookmarkStart w:id="7" w:name="heading_7"/>
      <w:r>
        <w:rPr>
          <w:rFonts w:hint="eastAsia" w:ascii="黑体" w:hAnsi="黑体" w:eastAsia="黑体" w:cs="黑体"/>
          <w:sz w:val="32"/>
          <w:szCs w:val="32"/>
        </w:rPr>
        <w:t>三、下一步工作举措</w:t>
      </w:r>
      <w:bookmarkEnd w:id="7"/>
    </w:p>
    <w:p w14:paraId="21356F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8" w:name="heading_8"/>
      <w:r>
        <w:rPr>
          <w:rFonts w:hint="eastAsia" w:ascii="楷体_GB2312" w:hAnsi="楷体_GB2312" w:eastAsia="楷体_GB2312" w:cs="楷体_GB2312"/>
          <w:sz w:val="32"/>
          <w:szCs w:val="32"/>
          <w:lang w:eastAsia="zh-CN"/>
        </w:rPr>
        <w:t>一是</w:t>
      </w:r>
      <w:r>
        <w:rPr>
          <w:rFonts w:hint="eastAsia" w:ascii="楷体_GB2312" w:hAnsi="楷体_GB2312" w:eastAsia="楷体_GB2312" w:cs="楷体_GB2312"/>
          <w:sz w:val="32"/>
          <w:szCs w:val="32"/>
        </w:rPr>
        <w:t>强化党建引领，凝聚法治建设合力</w:t>
      </w:r>
      <w:bookmarkEnd w:id="8"/>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持续深化党建与法治政府建设深度融合，坚持“围绕中心、建设队伍、服务群众”职责定位，把党建工作作为推动司法行政工作高质量发展的红色引擎。不断强化理论武装，创新学习模式，提升党员干部法治素养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严肃党内政治生活，加强作风建设，筑牢纪律防线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深化党建品牌创建，推动党建与法律服务、普法宣传、人民调解等业务深度融合，实现党建和业务“双提升”。</w:t>
      </w:r>
    </w:p>
    <w:p w14:paraId="737438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9" w:name="heading_9"/>
      <w:r>
        <w:rPr>
          <w:rFonts w:hint="eastAsia" w:ascii="楷体_GB2312" w:hAnsi="楷体_GB2312" w:eastAsia="楷体_GB2312" w:cs="楷体_GB2312"/>
          <w:sz w:val="32"/>
          <w:szCs w:val="32"/>
          <w:lang w:eastAsia="zh-CN"/>
        </w:rPr>
        <w:t>二是</w:t>
      </w:r>
      <w:r>
        <w:rPr>
          <w:rFonts w:hint="eastAsia" w:ascii="楷体_GB2312" w:hAnsi="楷体_GB2312" w:eastAsia="楷体_GB2312" w:cs="楷体_GB2312"/>
          <w:sz w:val="32"/>
          <w:szCs w:val="32"/>
        </w:rPr>
        <w:t>强化队伍建设，提升法治履职能力</w:t>
      </w:r>
      <w:bookmarkEnd w:id="9"/>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坚持党性教育、业务培训、实战训练相结合，加强法治队伍建设。培育选树司法行政队伍先进典型，建立内部“传帮带”机制，针对性开展法治业务培训，重点提升行政执法人员、基层司法工作者业务能力。持续做好行政执法资格认证工作，严把执法队伍“准入关”，不断提升行政执法队伍专业化水平。</w:t>
      </w:r>
    </w:p>
    <w:p w14:paraId="304002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10" w:name="heading_10"/>
      <w:r>
        <w:rPr>
          <w:rFonts w:hint="eastAsia" w:ascii="楷体_GB2312" w:hAnsi="楷体_GB2312" w:eastAsia="楷体_GB2312" w:cs="楷体_GB2312"/>
          <w:sz w:val="32"/>
          <w:szCs w:val="32"/>
          <w:lang w:eastAsia="zh-CN"/>
        </w:rPr>
        <w:t>三是</w:t>
      </w:r>
      <w:r>
        <w:rPr>
          <w:rFonts w:hint="eastAsia" w:ascii="楷体_GB2312" w:hAnsi="楷体_GB2312" w:eastAsia="楷体_GB2312" w:cs="楷体_GB2312"/>
          <w:sz w:val="32"/>
          <w:szCs w:val="32"/>
        </w:rPr>
        <w:t>规范执法行为，优化法治化营商环境</w:t>
      </w:r>
      <w:bookmarkEnd w:id="10"/>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深化行政执法体制改革，联合市场监管等部门制定联查清单，严格落实“清单外无检查”要求，推广“亮码检查”，落实“首违不罚”清单，减少企业迎检负担。持续推进“综合查一次”工作，提升执法效率和质量。加强行政执法监督，健全常态化监督机制，倒逼执法部门严格规范公正文明执法，开展企业法治体检，持续营造良好法治化营商环境。</w:t>
      </w:r>
    </w:p>
    <w:p w14:paraId="2E54D0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11" w:name="heading_11"/>
      <w:r>
        <w:rPr>
          <w:rFonts w:hint="eastAsia" w:ascii="楷体_GB2312" w:hAnsi="楷体_GB2312" w:eastAsia="楷体_GB2312" w:cs="楷体_GB2312"/>
          <w:sz w:val="32"/>
          <w:szCs w:val="32"/>
          <w:lang w:eastAsia="zh-CN"/>
        </w:rPr>
        <w:t>四是</w:t>
      </w:r>
      <w:r>
        <w:rPr>
          <w:rFonts w:hint="eastAsia" w:ascii="楷体_GB2312" w:hAnsi="楷体_GB2312" w:eastAsia="楷体_GB2312" w:cs="楷体_GB2312"/>
          <w:sz w:val="32"/>
          <w:szCs w:val="32"/>
        </w:rPr>
        <w:t>深化风险防控，维护社会和谐稳定</w:t>
      </w:r>
      <w:bookmarkEnd w:id="11"/>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聚焦社区矫正、安置帮教等重点工作，精准开展教育帮扶，谋划每月“新生”工作室主题活动，组织社区矫正对象参与职业技能培训，鼓励自主创业就业。深化安置帮教“联动共治”，通过就业引导、特困救助等方式，帮助帮教对象顺利回归社会。学习推广“新时代六尺巷工作法”，指导人民调解工作提质增效，壮大调解队伍，提升矛盾纠纷化解能力。</w:t>
      </w:r>
    </w:p>
    <w:p w14:paraId="3C96F767"/>
    <w:sectPr>
      <w:pgSz w:w="11911" w:h="16849"/>
      <w:pgMar w:top="2098" w:right="1531" w:bottom="1757" w:left="1531" w:header="0" w:footer="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937979"/>
    <w:rsid w:val="203720C0"/>
    <w:rsid w:val="227A69FB"/>
    <w:rsid w:val="307B2FED"/>
    <w:rsid w:val="4555354E"/>
    <w:rsid w:val="5CDC7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2989</Words>
  <Characters>3073</Characters>
  <Lines>0</Lines>
  <Paragraphs>0</Paragraphs>
  <TotalTime>1</TotalTime>
  <ScaleCrop>false</ScaleCrop>
  <LinksUpToDate>false</LinksUpToDate>
  <CharactersWithSpaces>3074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2023-12-22T09:51:00Z</dcterms:created>
  <dc:creator>Administrator</dc:creator>
  <cp:lastModifiedBy>再不学习就毕业了</cp:lastModifiedBy>
  <dcterms:modified xsi:type="dcterms:W3CDTF">2026-03-31T01:10:58Z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C247029FA1CB46E6BCC7822F6811263B_12</vt:lpwstr>
  </property>
  <property fmtid="{D5CDD505-2E9C-101B-9397-08002B2CF9AE}" pid="4" name="KSOTemplateDocerSaveRecord">
    <vt:lpwstr>eyJoZGlkIjoiMDUxYzU1YTJkOWRkNmQ3MDk4M2RjNWNmODc2MDMwNmEiLCJ1c2VySWQiOiIxNjg4NTA1OSJ9</vt:lpwstr>
  </property>
</Properties>
</file>