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63EB8">
      <w:pPr>
        <w:rPr>
          <w:rFonts w:hint="default"/>
        </w:rPr>
      </w:pPr>
      <w:bookmarkStart w:id="0" w:name="_GoBack"/>
      <w:bookmarkEnd w:id="0"/>
    </w:p>
    <w:p w14:paraId="29C40420">
      <w:pPr>
        <w:pStyle w:val="2"/>
        <w:rPr>
          <w:rFonts w:hint="default"/>
        </w:rPr>
      </w:pPr>
    </w:p>
    <w:p w14:paraId="05DE27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谢家集区人民政府办公室关于印发</w:t>
      </w:r>
    </w:p>
    <w:p w14:paraId="617B8D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《谢家集区水产养殖捕捞管理办法》的通知</w:t>
      </w:r>
    </w:p>
    <w:p w14:paraId="027F96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谢府办〔2025〕7 号</w:t>
      </w:r>
    </w:p>
    <w:p w14:paraId="31108C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1379F2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各乡镇人民政府、街道办事处，区直各部门，淮南谢家集经济开发区管委会： </w:t>
      </w:r>
    </w:p>
    <w:p w14:paraId="276F66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2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《谢家集区水产养殖捕捞管理办法》已经区政府同意，现印发给你们，请认真贯彻落实。 </w:t>
      </w:r>
    </w:p>
    <w:p w14:paraId="3054FD82">
      <w:pPr>
        <w:pStyle w:val="2"/>
        <w:rPr>
          <w:rFonts w:hint="eastAsia"/>
          <w:lang w:val="en-US" w:eastAsia="zh-CN"/>
        </w:rPr>
      </w:pPr>
    </w:p>
    <w:p w14:paraId="7D1260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outlineLvl w:val="9"/>
        <w:rPr>
          <w:rFonts w:hint="eastAsia" w:ascii="仿宋_GB2312" w:hAnsi="宋体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 xml:space="preserve">                               谢家集区人民政府办公室</w:t>
      </w:r>
    </w:p>
    <w:p w14:paraId="7FAB190A">
      <w:pPr>
        <w:rPr>
          <w:rFonts w:hint="default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2025年11月6日</w:t>
      </w:r>
    </w:p>
    <w:p w14:paraId="10AFF60C">
      <w:pP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6D163412">
      <w:pPr>
        <w:pStyle w:val="2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5CFF5A0C">
      <w:pP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10D62093">
      <w:pPr>
        <w:pStyle w:val="2"/>
        <w:rPr>
          <w:rFonts w:hint="default"/>
        </w:rPr>
      </w:pPr>
    </w:p>
    <w:p w14:paraId="1161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52CC5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6859F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谢家集区水产养殖捕捞管理办法</w:t>
      </w:r>
    </w:p>
    <w:p w14:paraId="3A177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center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</w:pPr>
    </w:p>
    <w:p w14:paraId="354C2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第一章 总则</w:t>
      </w:r>
    </w:p>
    <w:p w14:paraId="73ED7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第一条 为加强谢家集区渔业资源的保护、增殖、开发与合理利用，维护渔业生态环境，保障渔业生产者合法权益，推动渔业高质量可持续发展，依据《中华人民共和国渔业法》《中华人民共和国水污染防治法》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《中华人民共和国农产品质量安全法》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《安徽省实施〈中华人民共和国渔业法〉办法》等法律法规，结合谢家集区实际，制定本办法。</w:t>
      </w:r>
    </w:p>
    <w:p w14:paraId="0B1E1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第二条 本办法适用于谢家集区行政区域内所有从事水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养殖与捕捞的渔业生产活动。</w:t>
      </w:r>
    </w:p>
    <w:p w14:paraId="2C6A0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第三条 区人民政府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应当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将渔业发展纳入国民经济和社会发展规划，保障渔业生产用地空间，落实财政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保障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经费，用于渔业生产、技术推广、科研及执法监管。重点发展生态养殖、水产品加工流通、休闲渔业，推进产业化经营，提升渔业生产效率与产品质量。 </w:t>
      </w:r>
    </w:p>
    <w:p w14:paraId="41FE3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第四条 区农业农村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局是全区渔业行政主管部门，履行监督管理职责；承担水产行业管理服务，负责制定发展规划、技术指导、科技攻关与成果推广。公安、生态环境、自然资源等部门按职责分工，协同做好渔业监督管理工作。</w:t>
      </w:r>
    </w:p>
    <w:p w14:paraId="6BF88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第五条 渔业生产遵循养殖为主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捕捞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并举，因地制宜、突出特色方针，推广先进适用技术，提高渔业科技水平。</w:t>
      </w:r>
    </w:p>
    <w:p w14:paraId="70E48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第二章 水域和滩涂养殖规划</w:t>
      </w:r>
    </w:p>
    <w:p w14:paraId="73EC9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第六条 区、乡（镇）人民政府需稳定水产养殖发展空间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未经法定程序，不得擅自将河流、湖泊、水库、坑塘等现状水面调整为其他用途，已调整的应有序恢复。</w:t>
      </w:r>
    </w:p>
    <w:p w14:paraId="2D264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第七条 申请从事水域滩涂养殖的单位和个人，需向属地乡（镇）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提交申请，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报区农业农村水利局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审核通过后，由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区政府核发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《水域滩涂养殖证》，养殖活动不得超出许可范围。</w:t>
      </w:r>
    </w:p>
    <w:p w14:paraId="3F788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集体所有水域滩涂承包养殖，需经村民会议或村民代表会议同意，报乡（镇）人民政府审查备案。承包经营者经乡（镇）审查，可申请办理《水域滩涂养殖证》。 </w:t>
      </w:r>
    </w:p>
    <w:p w14:paraId="693C8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兼具调蓄、灌溉与养殖功能的水域，由区农业农村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定最低保鱼水位线。 </w:t>
      </w:r>
    </w:p>
    <w:p w14:paraId="70E01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第三章 水产养殖场申办</w:t>
      </w:r>
    </w:p>
    <w:p w14:paraId="589C9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第十条 养殖场选址需符合规划及法律法规要求，禁止在河流、水库、湖泊内围堤筑坝；严禁在永久基本农田、耕地等敏感区域违规建设养殖场。</w:t>
      </w:r>
    </w:p>
    <w:p w14:paraId="12D96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建设单位需向所在村（居）委会申请，经属地乡（镇）会审、自然资源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局复核公示无异议后，与村（居）委会签订协议，报乡（镇）备案并在自然资源一张图监管平台入库后，方可动工建设。</w:t>
      </w:r>
    </w:p>
    <w:p w14:paraId="71B6D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养殖场需实现生产区、管理区、生活区分区管理，水、电、路、渠满足生产需求，养殖水体无污染源、进排水系独立，池埂达到防渗防漏防坍塌标准，配备完善的渔业机械与尾水处理设施。工厂化养殖需保障水、电、气等基础设施正常运行，投饵机、增氧机等设备齐全可用。 </w:t>
      </w:r>
    </w:p>
    <w:p w14:paraId="17940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养殖场应依法建设管理用房，设置独立的兽药和饲料仓库（符合储备条件、清洁通风），配备并正常使用生产生活垃圾集中处理设施。 </w:t>
      </w:r>
    </w:p>
    <w:p w14:paraId="21329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第四章 渔业生产</w:t>
      </w:r>
    </w:p>
    <w:p w14:paraId="45E3B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水产苗种生产实行许可证制度，水产苗种场《水产苗种生产许可证》由区农业农村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局审核核发，自育自用水产苗种的除外。</w:t>
      </w:r>
    </w:p>
    <w:p w14:paraId="72346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养殖生产需符合国家技术规范，定期监测水质；渔用饲料需符合《饲料和饲料添加剂管理条例》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等法规要求，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防止水质污染。 </w:t>
      </w:r>
    </w:p>
    <w:p w14:paraId="53034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十六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养殖单位和个人需落实生产、用药、销售“三项记录”制度，配合开展水产品质量抽检、信息采集及疫情调查测报工作。 </w:t>
      </w:r>
    </w:p>
    <w:p w14:paraId="159EE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十七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乡（镇）官方兽医负责水产品产地检疫并出具证明，运输、销售前须完成检疫，禁止出售未经检疫或检疫不合格的水产品；经营水产苗种须附带质量合格证和检疫证明。 </w:t>
      </w:r>
    </w:p>
    <w:p w14:paraId="3D23A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十八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水产养殖用药需符合《兽药管理条例》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等法规要求，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禁止使用假劣兽药、国家禁用药品及化合物，原料药不得直接用于养殖；起捕前需按规定执行休药期。</w:t>
      </w:r>
    </w:p>
    <w:p w14:paraId="1A855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第五章 安全生产</w:t>
      </w:r>
    </w:p>
    <w:p w14:paraId="28DB4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十九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渔业生产单位需落实安全生产主体责任，加强员工安全法规宣传培训，强化日常管理，落实安全措施，保障生产安全。 </w:t>
      </w:r>
    </w:p>
    <w:p w14:paraId="72304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第二十条 渔业船舶所有人或经营人是安全生产第一责任人，需保障安全投入，建立健全责任制，按规定配备船员和安全设备，确保船舶适航，保障船员充足休息时间。 </w:t>
      </w:r>
    </w:p>
    <w:p w14:paraId="50795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渔业船舶所有人或经营人须持有渔政、渔船检验机构核发的船舶证书；船舶需配备有效安全设施，持证行驶，不得从事经营性客运；经检验合格后方可使用。 </w:t>
      </w:r>
    </w:p>
    <w:p w14:paraId="0A465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第六章 渔业资源和环境保护</w:t>
      </w:r>
    </w:p>
    <w:p w14:paraId="713B7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养殖生产需保护水域生态，科学确定养殖密度，合理投饵、施肥、用药，避免造成环境污染。 </w:t>
      </w:r>
    </w:p>
    <w:p w14:paraId="0BB27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第二十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严格落实禁渔区、禁渔期制度，淮河干流谢家集段等禁渔区禁渔期内禁止捕捞和垂钓。开展水生生物增殖放流，重点保护水库等水体的重要经济渔业品种。禁止捕捞、收购、销售未达可捕标准的水生动物。 </w:t>
      </w:r>
    </w:p>
    <w:p w14:paraId="4D081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二十四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禁止使用炸鱼、毒鱼、电鱼等破坏资源与生态的捕捞方式；捕捞不得损害其他生物资源，增殖渔业需使用专用渔具渔法。禁止使用多层拦网、闸口套网、拦河罾、深水张网（淮河）等破坏性渔具及方法。 </w:t>
      </w:r>
    </w:p>
    <w:p w14:paraId="4591C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二十五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禁止在行洪、排涝、输水河道、渠道内设置影响行水的捕鱼设施；禁止在航道内设置渔具。 </w:t>
      </w:r>
    </w:p>
    <w:p w14:paraId="24C0B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二十六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采捕天然生长和人工增殖水生动植物的单位和个人，需依法缴纳渔业资源增殖保护费，具体按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上级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规定执行。</w:t>
      </w:r>
    </w:p>
    <w:p w14:paraId="743A0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二十七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一级水源地管理范围内禁止开展渔事活动；限养区内禁止投肥（粪）投饵养殖、人工种植芡实等，禁止围网拦网网箱养殖。 </w:t>
      </w:r>
    </w:p>
    <w:p w14:paraId="74790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二十八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养殖企业需配备符合要求的尾水处理设施，尾水需达标排放，符合安徽省《水产养殖业水污染物排放标准》。 </w:t>
      </w:r>
    </w:p>
    <w:p w14:paraId="43EEF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二十九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工厂化养殖需采用物理净化（过滤、沉淀）和生物净化（硝化、活性污泥等）技术处理尾水，支持循环水养殖；池塘养殖集中区域需集中处理尾水，配置人工湿地、生态沟渠或净化塘系统。 </w:t>
      </w:r>
    </w:p>
    <w:p w14:paraId="28DB9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第七章 监督管理</w:t>
      </w:r>
    </w:p>
    <w:p w14:paraId="3F1DC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三十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各职能部门按以下职责开展工作： </w:t>
      </w:r>
    </w:p>
    <w:p w14:paraId="1ABD0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区农业农村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局：牵头编制修订养殖水域滩涂规划，落实惠渔政策，开展技术指导与培训，指导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科学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养殖及疫病防治，协助禁渔、证件审核、增殖放流等工作，配合执法监管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查处渔事案件，监管兽药、饲料等投入品使用，核发苗种生产、捕捞、养殖等许可证，落实禁渔制度，履行水污染防治法赋予职责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协调养殖用水，查处破坏防洪堤坝、违规占用河湖岸线行为。</w:t>
      </w:r>
    </w:p>
    <w:p w14:paraId="0B8E9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生态环境分局：负责养殖业污染防治监管，审批养殖场环评，指导面源污染治理，开展生态环保执法检查。</w:t>
      </w:r>
    </w:p>
    <w:p w14:paraId="2CDC7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自然资源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局：保障渔业生产空间，认定水域滩涂地类性质，支持设施渔业用地。</w:t>
      </w:r>
    </w:p>
    <w:p w14:paraId="21D1C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公安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局：配合渔政执法，从严处罚阻挠执法、破坏资源等行为，构成犯罪的追究刑事责任。</w:t>
      </w:r>
    </w:p>
    <w:p w14:paraId="76D05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相关乡（镇）：落实属地管理责任，负责辖区渔业生产、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受理申请、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安全检查、矛盾化解，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定期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开展水域巡查，配合部门查处违规行为。</w:t>
      </w:r>
    </w:p>
    <w:p w14:paraId="0F2FD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第八章 扶持措施</w:t>
      </w:r>
    </w:p>
    <w:p w14:paraId="06D8B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三十一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鼓励利用荒滩、荒水等未利用及低效闲置水域滩涂开展养殖，支持集体水域滩涂经营权主体申办养殖证以享受惠渔政策，试点发展休闲渔业。</w:t>
      </w:r>
    </w:p>
    <w:p w14:paraId="559FA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三十二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整合中央、省级渔业绿色发展补助资金及乡村振兴衔接资金，对符合条件的新建/改造养殖基地、稻渔综合种养基地、设施渔业及水产加工企业予以奖补。 </w:t>
      </w:r>
    </w:p>
    <w:p w14:paraId="0A9CB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三十三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区发改委、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农业农村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水利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科技局、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财政局等部门在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渔业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项目申报、创新奖励、资金扶持等方面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予以支持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。 </w:t>
      </w:r>
    </w:p>
    <w:p w14:paraId="4C8C1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三十四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支持打造“三品一标”渔业品牌，培育龙头企业；鼓励保险机构扩大水产养殖保险范围，支持养殖主体投保。 </w:t>
      </w:r>
    </w:p>
    <w:p w14:paraId="56BAF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</w:rPr>
        <w:t>第九章 附则</w:t>
      </w:r>
    </w:p>
    <w:p w14:paraId="05C2D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三十五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条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法律法规、规章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或上级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党委、政府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、主管部门有其他规定的，从其规定。 </w:t>
      </w:r>
    </w:p>
    <w:p w14:paraId="4330B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三十六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本办法由区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农业农村水利局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负责解释。 </w:t>
      </w:r>
    </w:p>
    <w:p w14:paraId="608CE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三十七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 本办法自公布之日起30日后施行。</w:t>
      </w:r>
    </w:p>
    <w:p w14:paraId="5C529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highlight w:val="none"/>
        </w:rPr>
      </w:pPr>
      <w:r>
        <w:rPr>
          <w:rFonts w:hint="default" w:ascii="Times New Roman" w:hAnsi="Times New Roman" w:eastAsia="宋体" w:cs="Times New Roman"/>
          <w:highlight w:val="none"/>
        </w:rPr>
        <w:t xml:space="preserve"> </w:t>
      </w:r>
    </w:p>
    <w:p w14:paraId="35BC60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41235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object>
          <v:shape id="_x0000_i1025" o:spt="75" type="#_x0000_t75" style="height:90pt;width:443.2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6">
            <o:LockedField>false</o:LockedField>
          </o:OLEObject>
        </w:object>
      </w: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D97FB36-5EA0-47EB-9C3A-3B261E3F23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6B98B">
    <w:pPr>
      <w:pStyle w:val="6"/>
      <w:ind w:left="4788" w:leftChars="2280" w:firstLine="6400" w:firstLineChars="2000"/>
      <w:rPr>
        <w:rFonts w:eastAsia="仿宋"/>
        <w:sz w:val="32"/>
        <w:szCs w:val="48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7EBCB4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7EBCB4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</w:rPr>
      <w:t xml:space="preserve">  </w:t>
    </w:r>
  </w:p>
  <w:p w14:paraId="6ABF4642">
    <w:pPr>
      <w:pStyle w:val="6"/>
      <w:wordWrap w:val="0"/>
      <w:ind w:left="4788" w:leftChars="2280" w:firstLine="6400" w:firstLineChars="2000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</w:rPr>
      <w:t>X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eastAsia="zh-CN"/>
      </w:rPr>
      <w:t>谢家集区</w:t>
    </w:r>
    <w:r>
      <w:rPr>
        <w:rFonts w:hint="eastAsia" w:ascii="宋体" w:hAnsi="宋体" w:eastAsia="宋体" w:cs="宋体"/>
        <w:b/>
        <w:bCs/>
        <w:color w:val="005192"/>
        <w:sz w:val="28"/>
        <w:szCs w:val="44"/>
      </w:rPr>
      <w:t>人民政府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>办公室</w:t>
    </w:r>
    <w:r>
      <w:rPr>
        <w:rFonts w:hint="eastAsia" w:ascii="宋体" w:hAnsi="宋体" w:eastAsia="宋体" w:cs="宋体"/>
        <w:b/>
        <w:bCs/>
        <w:color w:val="005192"/>
        <w:sz w:val="28"/>
        <w:szCs w:val="44"/>
      </w:rPr>
      <w:t xml:space="preserve">发布     </w:t>
    </w:r>
  </w:p>
  <w:p w14:paraId="5C886727">
    <w:pPr>
      <w:pStyle w:val="6"/>
      <w:wordWrap w:val="0"/>
      <w:ind w:left="4788" w:leftChars="2280" w:firstLine="5622" w:firstLineChars="2000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4DDC5">
    <w:pPr>
      <w:pStyle w:val="6"/>
      <w:textAlignment w:val="center"/>
      <w:rPr>
        <w:rFonts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14:paraId="7142CDB0">
    <w:pPr>
      <w:pStyle w:val="6"/>
      <w:textAlignment w:val="center"/>
      <w:rPr>
        <w:rFonts w:hint="default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谢家集区</w:t>
    </w:r>
    <w:r>
      <w:rPr>
        <w:rFonts w:hint="eastAsia" w:ascii="宋体" w:hAnsi="宋体" w:eastAsia="宋体" w:cs="宋体"/>
        <w:b/>
        <w:bCs/>
        <w:color w:val="005192"/>
        <w:sz w:val="32"/>
        <w:szCs w:val="32"/>
      </w:rPr>
      <w:t>人民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政府办公室行政规范性文件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FLceTtVs/AlB+u9P+ogS74JJuZc=" w:salt="VarUJSld82f/8x0Ut8E+S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lZGVhYjA3MTJiMGVjNTMxZWJhZjEwMzFmYmZlZTUifQ=="/>
  </w:docVars>
  <w:rsids>
    <w:rsidRoot w:val="00172A27"/>
    <w:rsid w:val="000B75E5"/>
    <w:rsid w:val="00103799"/>
    <w:rsid w:val="00172A27"/>
    <w:rsid w:val="00197EF1"/>
    <w:rsid w:val="001D5673"/>
    <w:rsid w:val="00370D60"/>
    <w:rsid w:val="003B0BE9"/>
    <w:rsid w:val="003C2C10"/>
    <w:rsid w:val="00496D91"/>
    <w:rsid w:val="00507124"/>
    <w:rsid w:val="00545D8F"/>
    <w:rsid w:val="005D49CE"/>
    <w:rsid w:val="00650E3A"/>
    <w:rsid w:val="00701CB2"/>
    <w:rsid w:val="007740FE"/>
    <w:rsid w:val="007E5B7F"/>
    <w:rsid w:val="00855681"/>
    <w:rsid w:val="00866D1D"/>
    <w:rsid w:val="00886771"/>
    <w:rsid w:val="008A1132"/>
    <w:rsid w:val="00900219"/>
    <w:rsid w:val="00940255"/>
    <w:rsid w:val="009418D6"/>
    <w:rsid w:val="00AD7101"/>
    <w:rsid w:val="00B305BB"/>
    <w:rsid w:val="00B8333C"/>
    <w:rsid w:val="00BE1AF4"/>
    <w:rsid w:val="00C2647D"/>
    <w:rsid w:val="00DA2E23"/>
    <w:rsid w:val="00ED39D9"/>
    <w:rsid w:val="00F1597D"/>
    <w:rsid w:val="00F17DC1"/>
    <w:rsid w:val="019E71BD"/>
    <w:rsid w:val="032B6C3A"/>
    <w:rsid w:val="033E332C"/>
    <w:rsid w:val="04B679C3"/>
    <w:rsid w:val="052B2C5E"/>
    <w:rsid w:val="05900B27"/>
    <w:rsid w:val="06141D19"/>
    <w:rsid w:val="07D34838"/>
    <w:rsid w:val="080F63D8"/>
    <w:rsid w:val="087A5962"/>
    <w:rsid w:val="09003477"/>
    <w:rsid w:val="09341458"/>
    <w:rsid w:val="096A6BE1"/>
    <w:rsid w:val="0B0912D7"/>
    <w:rsid w:val="0EE3051E"/>
    <w:rsid w:val="104A7615"/>
    <w:rsid w:val="1277193D"/>
    <w:rsid w:val="152D2DCA"/>
    <w:rsid w:val="153913E2"/>
    <w:rsid w:val="17DB6A12"/>
    <w:rsid w:val="1D776FB0"/>
    <w:rsid w:val="1DD97D69"/>
    <w:rsid w:val="1DEC284C"/>
    <w:rsid w:val="1E6523AC"/>
    <w:rsid w:val="1FFA7124"/>
    <w:rsid w:val="22440422"/>
    <w:rsid w:val="259E3AC4"/>
    <w:rsid w:val="2A5C1C3C"/>
    <w:rsid w:val="2E9C2BDF"/>
    <w:rsid w:val="31A15F24"/>
    <w:rsid w:val="31B72082"/>
    <w:rsid w:val="395347B5"/>
    <w:rsid w:val="398E534A"/>
    <w:rsid w:val="39A232A0"/>
    <w:rsid w:val="39E745AA"/>
    <w:rsid w:val="3B5A6BBB"/>
    <w:rsid w:val="3EDA13A6"/>
    <w:rsid w:val="3FC82FE6"/>
    <w:rsid w:val="3FF21DD0"/>
    <w:rsid w:val="42F058B7"/>
    <w:rsid w:val="436109F6"/>
    <w:rsid w:val="441A38D4"/>
    <w:rsid w:val="447A10D3"/>
    <w:rsid w:val="494553A6"/>
    <w:rsid w:val="4A5162EE"/>
    <w:rsid w:val="4B0A0B56"/>
    <w:rsid w:val="4B6E6C91"/>
    <w:rsid w:val="4BC77339"/>
    <w:rsid w:val="4C8A659B"/>
    <w:rsid w:val="4C9236C5"/>
    <w:rsid w:val="505C172E"/>
    <w:rsid w:val="52C74409"/>
    <w:rsid w:val="52F46F0B"/>
    <w:rsid w:val="53D8014D"/>
    <w:rsid w:val="5550603F"/>
    <w:rsid w:val="55A56411"/>
    <w:rsid w:val="55E01F60"/>
    <w:rsid w:val="55E064E0"/>
    <w:rsid w:val="5660369E"/>
    <w:rsid w:val="572C6D10"/>
    <w:rsid w:val="596C327A"/>
    <w:rsid w:val="59C17B23"/>
    <w:rsid w:val="5DC34279"/>
    <w:rsid w:val="608816D1"/>
    <w:rsid w:val="60EF4E7F"/>
    <w:rsid w:val="632B726B"/>
    <w:rsid w:val="643550EE"/>
    <w:rsid w:val="665233C1"/>
    <w:rsid w:val="67750F81"/>
    <w:rsid w:val="6AD45862"/>
    <w:rsid w:val="6AD9688B"/>
    <w:rsid w:val="6AEE1AB5"/>
    <w:rsid w:val="6C681542"/>
    <w:rsid w:val="6D0E3F22"/>
    <w:rsid w:val="6F2B6B62"/>
    <w:rsid w:val="6FBC5506"/>
    <w:rsid w:val="737C3597"/>
    <w:rsid w:val="73826795"/>
    <w:rsid w:val="74F1485B"/>
    <w:rsid w:val="7C9011D9"/>
    <w:rsid w:val="7DC651C5"/>
    <w:rsid w:val="7FC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uppressAutoHyphens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link w:val="12"/>
    <w:qFormat/>
    <w:uiPriority w:val="0"/>
    <w:rPr>
      <w:rFonts w:ascii="宋体" w:hAnsi="Courier New" w:eastAsia="仿宋_GB2312" w:cs="Courier New"/>
      <w:sz w:val="32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2"/>
    <w:basedOn w:val="1"/>
    <w:unhideWhenUsed/>
    <w:qFormat/>
    <w:uiPriority w:val="99"/>
    <w:pPr>
      <w:spacing w:after="120" w:line="480" w:lineRule="auto"/>
    </w:pPr>
    <w:rPr>
      <w:rFonts w:ascii="Calibri" w:hAnsi="Calibri" w:eastAsia="宋体" w:cs="Times New Roman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纯文本 字符"/>
    <w:basedOn w:val="10"/>
    <w:link w:val="4"/>
    <w:qFormat/>
    <w:uiPriority w:val="0"/>
    <w:rPr>
      <w:rFonts w:ascii="宋体" w:hAnsi="Courier New" w:eastAsia="仿宋_GB2312" w:cs="Courier New"/>
      <w:kern w:val="2"/>
      <w:sz w:val="32"/>
      <w:szCs w:val="21"/>
    </w:rPr>
  </w:style>
  <w:style w:type="paragraph" w:customStyle="1" w:styleId="13">
    <w:name w:val="_Style 9"/>
    <w:basedOn w:val="1"/>
    <w:next w:val="14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3030</Words>
  <Characters>3038</Characters>
  <Lines>30</Lines>
  <Paragraphs>8</Paragraphs>
  <TotalTime>11</TotalTime>
  <ScaleCrop>false</ScaleCrop>
  <LinksUpToDate>false</LinksUpToDate>
  <CharactersWithSpaces>3178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2021-12-04T07:33:00Z</dcterms:created>
  <dc:creator>t</dc:creator>
  <cp:lastModifiedBy>Kookie</cp:lastModifiedBy>
  <cp:lastPrinted>2021-10-26T03:30:00Z</cp:lastPrinted>
  <dcterms:modified xsi:type="dcterms:W3CDTF">2026-10-16T07:50:24Z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225F53E89E1E475DA0390488B92E64C4_13</vt:lpwstr>
  </property>
  <property fmtid="{D5CDD505-2E9C-101B-9397-08002B2CF9AE}" pid="4" name="KSOTemplateDocerSaveRecord">
    <vt:lpwstr>eyJoZGlkIjoiYTM4ODgzNzA2NWYxODgzMTQwZWUwYWMxM2JiOWRlNzUiLCJ1c2VySWQiOiIzNzc3MTI0MzEifQ==</vt:lpwstr>
  </property>
</Properties>
</file>